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82" w:rsidRDefault="00654282" w:rsidP="00654282">
      <w:pPr>
        <w:spacing w:after="0" w:line="240" w:lineRule="auto"/>
        <w:jc w:val="center"/>
        <w:rPr>
          <w:b/>
          <w:color w:val="44546A" w:themeColor="text2"/>
          <w:sz w:val="52"/>
          <w:szCs w:val="52"/>
        </w:rPr>
      </w:pPr>
    </w:p>
    <w:p w:rsidR="00654282" w:rsidRDefault="00654282" w:rsidP="00654282">
      <w:pPr>
        <w:spacing w:after="0" w:line="240" w:lineRule="auto"/>
        <w:jc w:val="center"/>
        <w:rPr>
          <w:b/>
          <w:color w:val="44546A" w:themeColor="text2"/>
          <w:sz w:val="52"/>
          <w:szCs w:val="52"/>
        </w:rPr>
      </w:pPr>
    </w:p>
    <w:p w:rsidR="00654282" w:rsidRDefault="00654282" w:rsidP="00654282">
      <w:pPr>
        <w:spacing w:after="0" w:line="240" w:lineRule="auto"/>
        <w:jc w:val="center"/>
        <w:rPr>
          <w:b/>
          <w:color w:val="44546A" w:themeColor="text2"/>
          <w:sz w:val="52"/>
          <w:szCs w:val="52"/>
        </w:rPr>
      </w:pPr>
    </w:p>
    <w:p w:rsidR="00654282" w:rsidRDefault="00654282" w:rsidP="00654282">
      <w:pPr>
        <w:spacing w:after="0" w:line="240" w:lineRule="auto"/>
        <w:jc w:val="center"/>
        <w:rPr>
          <w:b/>
          <w:color w:val="44546A" w:themeColor="text2"/>
          <w:sz w:val="52"/>
          <w:szCs w:val="52"/>
        </w:rPr>
      </w:pPr>
    </w:p>
    <w:p w:rsidR="00654282" w:rsidRDefault="00654282" w:rsidP="00654282">
      <w:pPr>
        <w:spacing w:after="0" w:line="240" w:lineRule="auto"/>
        <w:jc w:val="center"/>
        <w:rPr>
          <w:b/>
          <w:color w:val="44546A" w:themeColor="text2"/>
          <w:sz w:val="52"/>
          <w:szCs w:val="52"/>
        </w:rPr>
      </w:pPr>
    </w:p>
    <w:p w:rsidR="00654282" w:rsidRPr="002863AB" w:rsidRDefault="00654282" w:rsidP="00654282">
      <w:pPr>
        <w:spacing w:after="0" w:line="240" w:lineRule="auto"/>
        <w:jc w:val="center"/>
        <w:rPr>
          <w:b/>
          <w:color w:val="44546A" w:themeColor="text2"/>
          <w:sz w:val="52"/>
          <w:szCs w:val="52"/>
        </w:rPr>
      </w:pPr>
      <w:r w:rsidRPr="002863AB">
        <w:rPr>
          <w:b/>
          <w:color w:val="44546A" w:themeColor="text2"/>
          <w:sz w:val="52"/>
          <w:szCs w:val="52"/>
        </w:rPr>
        <w:t>Raport z m</w:t>
      </w:r>
      <w:bookmarkStart w:id="0" w:name="_GoBack"/>
      <w:bookmarkEnd w:id="0"/>
      <w:r w:rsidRPr="002863AB">
        <w:rPr>
          <w:b/>
          <w:color w:val="44546A" w:themeColor="text2"/>
          <w:sz w:val="52"/>
          <w:szCs w:val="52"/>
        </w:rPr>
        <w:t xml:space="preserve">onitoringu </w:t>
      </w:r>
    </w:p>
    <w:p w:rsidR="00654282" w:rsidRPr="002863AB" w:rsidRDefault="00654282" w:rsidP="00654282">
      <w:pPr>
        <w:spacing w:after="0" w:line="240" w:lineRule="auto"/>
        <w:jc w:val="center"/>
        <w:rPr>
          <w:b/>
          <w:color w:val="44546A" w:themeColor="text2"/>
          <w:sz w:val="52"/>
          <w:szCs w:val="52"/>
        </w:rPr>
      </w:pPr>
      <w:r w:rsidRPr="002863AB">
        <w:rPr>
          <w:b/>
          <w:color w:val="44546A" w:themeColor="text2"/>
          <w:sz w:val="52"/>
          <w:szCs w:val="52"/>
        </w:rPr>
        <w:t>Lokalnej Strategii Rozwoju</w:t>
      </w:r>
    </w:p>
    <w:p w:rsidR="00654282" w:rsidRDefault="00654282" w:rsidP="00654282">
      <w:pPr>
        <w:spacing w:after="0" w:line="240" w:lineRule="auto"/>
        <w:jc w:val="center"/>
        <w:rPr>
          <w:b/>
          <w:color w:val="44546A" w:themeColor="text2"/>
          <w:sz w:val="52"/>
          <w:szCs w:val="52"/>
        </w:rPr>
      </w:pPr>
      <w:r w:rsidRPr="002863AB">
        <w:rPr>
          <w:b/>
          <w:color w:val="44546A" w:themeColor="text2"/>
          <w:sz w:val="52"/>
          <w:szCs w:val="52"/>
        </w:rPr>
        <w:t xml:space="preserve"> Lokalnej Grupy Działania Stowarzyszenie „</w:t>
      </w:r>
      <w:r>
        <w:rPr>
          <w:b/>
          <w:color w:val="44546A" w:themeColor="text2"/>
          <w:sz w:val="52"/>
          <w:szCs w:val="52"/>
        </w:rPr>
        <w:t>Lepsza Przyszłość Ziemi Ryckiej</w:t>
      </w:r>
      <w:r w:rsidRPr="002863AB">
        <w:rPr>
          <w:b/>
          <w:color w:val="44546A" w:themeColor="text2"/>
          <w:sz w:val="52"/>
          <w:szCs w:val="52"/>
        </w:rPr>
        <w:t>”</w:t>
      </w:r>
    </w:p>
    <w:p w:rsidR="00654282" w:rsidRDefault="00654282" w:rsidP="003E6DA4">
      <w:pPr>
        <w:pStyle w:val="Nagwek1"/>
        <w:jc w:val="both"/>
        <w:rPr>
          <w:rFonts w:ascii="Times New Roman" w:hAnsi="Times New Roman" w:cs="Times New Roman"/>
          <w:i/>
        </w:rPr>
      </w:pPr>
    </w:p>
    <w:p w:rsidR="00654282" w:rsidRDefault="00654282" w:rsidP="003E6DA4">
      <w:pPr>
        <w:pStyle w:val="Nagwek1"/>
        <w:jc w:val="both"/>
        <w:rPr>
          <w:rFonts w:ascii="Times New Roman" w:hAnsi="Times New Roman" w:cs="Times New Roman"/>
          <w:i/>
        </w:rPr>
      </w:pPr>
    </w:p>
    <w:p w:rsidR="00654282" w:rsidRDefault="00654282" w:rsidP="003E6DA4">
      <w:pPr>
        <w:pStyle w:val="Nagwek1"/>
        <w:jc w:val="both"/>
        <w:rPr>
          <w:rFonts w:ascii="Times New Roman" w:hAnsi="Times New Roman" w:cs="Times New Roman"/>
          <w:i/>
        </w:rPr>
      </w:pPr>
    </w:p>
    <w:p w:rsidR="00654282" w:rsidRDefault="00654282" w:rsidP="003E6DA4">
      <w:pPr>
        <w:pStyle w:val="Nagwek1"/>
        <w:jc w:val="both"/>
        <w:rPr>
          <w:rFonts w:ascii="Times New Roman" w:hAnsi="Times New Roman" w:cs="Times New Roman"/>
          <w:i/>
        </w:rPr>
      </w:pPr>
    </w:p>
    <w:p w:rsidR="00654282" w:rsidRDefault="00654282" w:rsidP="003E6DA4">
      <w:pPr>
        <w:pStyle w:val="Nagwek1"/>
        <w:jc w:val="both"/>
        <w:rPr>
          <w:rFonts w:ascii="Times New Roman" w:hAnsi="Times New Roman" w:cs="Times New Roman"/>
          <w:i/>
        </w:rPr>
      </w:pPr>
    </w:p>
    <w:p w:rsidR="00654282" w:rsidRDefault="00654282" w:rsidP="003E6DA4">
      <w:pPr>
        <w:pStyle w:val="Nagwek1"/>
        <w:jc w:val="both"/>
        <w:rPr>
          <w:rFonts w:ascii="Times New Roman" w:hAnsi="Times New Roman" w:cs="Times New Roman"/>
          <w:i/>
        </w:rPr>
      </w:pPr>
    </w:p>
    <w:p w:rsidR="00654282" w:rsidRDefault="00654282" w:rsidP="00654282"/>
    <w:p w:rsidR="00654282" w:rsidRDefault="00654282" w:rsidP="00654282"/>
    <w:p w:rsidR="00654282" w:rsidRDefault="00654282" w:rsidP="00654282"/>
    <w:p w:rsidR="00654282" w:rsidRDefault="00654282" w:rsidP="00654282"/>
    <w:p w:rsidR="00654282" w:rsidRDefault="00654282" w:rsidP="00654282"/>
    <w:p w:rsidR="003E6DA4" w:rsidRPr="00DC449E" w:rsidRDefault="003E6DA4" w:rsidP="003E6DA4">
      <w:pPr>
        <w:pStyle w:val="Nagwek1"/>
        <w:jc w:val="both"/>
        <w:rPr>
          <w:rFonts w:ascii="Times New Roman" w:hAnsi="Times New Roman" w:cs="Times New Roman"/>
          <w:i/>
        </w:rPr>
      </w:pPr>
      <w:r w:rsidRPr="00DC449E">
        <w:rPr>
          <w:rFonts w:ascii="Times New Roman" w:hAnsi="Times New Roman" w:cs="Times New Roman"/>
          <w:i/>
        </w:rPr>
        <w:t>Monitoring Lokalnej Strategii Rozwoju Lokalnej Grupy Działania Stowarzyszenie „Lepsza Przyszłość Ziemi Ryckiej”.</w:t>
      </w:r>
    </w:p>
    <w:p w:rsidR="003E6DA4" w:rsidRDefault="003E6DA4" w:rsidP="003E6DA4"/>
    <w:p w:rsidR="003E6DA4" w:rsidRPr="00121FAD" w:rsidRDefault="003E6DA4" w:rsidP="003E6DA4">
      <w:pPr>
        <w:ind w:firstLine="708"/>
        <w:jc w:val="both"/>
        <w:rPr>
          <w:rFonts w:ascii="Times New Roman" w:hAnsi="Times New Roman" w:cs="Times New Roman"/>
          <w:color w:val="000000"/>
        </w:rPr>
      </w:pPr>
      <w:r>
        <w:rPr>
          <w:rFonts w:ascii="Times New Roman" w:hAnsi="Times New Roman" w:cs="Times New Roman"/>
          <w:color w:val="000000"/>
        </w:rPr>
        <w:t xml:space="preserve"> </w:t>
      </w:r>
      <w:r w:rsidRPr="00121FAD">
        <w:rPr>
          <w:rFonts w:ascii="Times New Roman" w:hAnsi="Times New Roman" w:cs="Times New Roman"/>
          <w:color w:val="000000"/>
        </w:rPr>
        <w:t>Ewaluacja realizacji Lokalnej Strategii Rozwoju wdrażanej przez Lokalną Grupę Działania Stowarzyszenie „Lepsza Przyszłość Ziemi Ryckiej” jest to ewaluacja typu on - going. Głównym celem przeprowadzonej ewaluacji jest bieżące i systematyczne badanie ilościowe i jakościowe całości procesu wdrażania LSR oraz funkcjonowania LGD.</w:t>
      </w:r>
    </w:p>
    <w:p w:rsidR="003E6DA4" w:rsidRPr="00121FAD" w:rsidRDefault="003E6DA4" w:rsidP="003E6DA4">
      <w:pPr>
        <w:spacing w:before="100" w:beforeAutospacing="1" w:after="100" w:afterAutospacing="1"/>
        <w:ind w:firstLine="708"/>
        <w:jc w:val="both"/>
        <w:rPr>
          <w:rFonts w:ascii="Times New Roman" w:hAnsi="Times New Roman" w:cs="Times New Roman"/>
          <w:color w:val="000000"/>
        </w:rPr>
      </w:pPr>
      <w:r w:rsidRPr="00121FAD">
        <w:rPr>
          <w:rFonts w:ascii="Times New Roman" w:hAnsi="Times New Roman" w:cs="Times New Roman"/>
          <w:color w:val="000000"/>
        </w:rPr>
        <w:t>Warsztat refleksyjny to element ewaluacji wewnętrznej on-going wprowadzony do realizacji w LGD Wytyczną Ministra Rolnictwa i Rozwoju Wsi (Wytyczna 5/3/2017 z 18 sierpnia 2017 r.). Zgodnie z nią, na początku każdego roku LGD dokonuje ewaluacji wewnętrznej, której kulminacyjnym punktem jest przeprowadzanie ćwiczeń analityczno- refleksyjnych mających na celu dokonanie bieżącej analizy procesu wdrażania i jego efektów oraz zmian w otoczeniu LSR. Celem warsztatu jest lepsze zrozumienie osiąganych rezultatów, zmian otoczenia oraz przewidywanie zagrożeń związanych z realizacją wskaźników a poprzez to całej Strategii. Rozważania przeprowadzone w trakcie warsztatów mogą być również podstawą do podejmowania decyzji o ewentualnej zmianie kierunku działań – jeśli to będzie konieczne – oraz stanowią wkład w ewaluację ex-post.</w:t>
      </w:r>
    </w:p>
    <w:p w:rsidR="003E6DA4" w:rsidRPr="00121FAD" w:rsidRDefault="003E6DA4" w:rsidP="003E6DA4">
      <w:pPr>
        <w:spacing w:before="100" w:beforeAutospacing="1" w:after="100" w:afterAutospacing="1"/>
        <w:jc w:val="both"/>
        <w:rPr>
          <w:rFonts w:ascii="Times New Roman" w:eastAsia="Times New Roman" w:hAnsi="Times New Roman" w:cs="Times New Roman"/>
          <w:b/>
          <w:bCs/>
          <w:lang w:eastAsia="pl-PL"/>
        </w:rPr>
      </w:pPr>
      <w:r w:rsidRPr="00121FAD">
        <w:rPr>
          <w:rFonts w:ascii="Times New Roman" w:eastAsia="Times New Roman" w:hAnsi="Times New Roman" w:cs="Times New Roman"/>
          <w:b/>
          <w:bCs/>
          <w:lang w:eastAsia="pl-PL"/>
        </w:rPr>
        <w:t>Stowarzyszenie</w:t>
      </w:r>
      <w:r w:rsidRPr="00121FAD">
        <w:rPr>
          <w:rFonts w:ascii="Times New Roman" w:eastAsia="Times New Roman" w:hAnsi="Times New Roman" w:cs="Times New Roman"/>
          <w:b/>
          <w:bCs/>
          <w:lang w:eastAsia="pl-PL"/>
        </w:rPr>
        <w:t xml:space="preserve"> </w:t>
      </w:r>
      <w:r w:rsidRPr="00121FAD">
        <w:rPr>
          <w:rFonts w:ascii="Times New Roman" w:eastAsia="Times New Roman" w:hAnsi="Times New Roman" w:cs="Times New Roman"/>
          <w:b/>
          <w:bCs/>
          <w:lang w:eastAsia="pl-PL"/>
        </w:rPr>
        <w:t>LGD „Lepsza Przyszłość Ziemi Ryckiej”, przeprowadziło warsztat refleksyjny w dniu 11 lutego 2019r. w godz. 13.00-18.00 w Sali konferencyjnej  Urzędu Miejskiego w rykach ul. Karola Wojtyły 29, 08-500 Ryki. W warsztacie uczestniczyli członkowie Zarządu, członkowie Rady, Pracownicy Biura LGD oraz beneficjenci.</w:t>
      </w:r>
    </w:p>
    <w:p w:rsidR="003E6DA4" w:rsidRPr="00121FAD" w:rsidRDefault="003E6DA4" w:rsidP="003E6DA4">
      <w:pPr>
        <w:spacing w:before="100" w:beforeAutospacing="1" w:after="100" w:afterAutospacing="1"/>
        <w:jc w:val="both"/>
        <w:rPr>
          <w:rFonts w:ascii="Times New Roman" w:eastAsia="Times New Roman" w:hAnsi="Times New Roman" w:cs="Times New Roman"/>
          <w:lang w:eastAsia="pl-PL"/>
        </w:rPr>
      </w:pPr>
      <w:r w:rsidRPr="00121FAD">
        <w:rPr>
          <w:rFonts w:ascii="Times New Roman" w:eastAsia="Times New Roman" w:hAnsi="Times New Roman" w:cs="Times New Roman"/>
          <w:b/>
          <w:bCs/>
          <w:lang w:eastAsia="pl-PL"/>
        </w:rPr>
        <w:t>Podczas warsztatu, podjęto dyskusję w oparciu o następujące zagadnienia:</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realizacja finansowa i rzeczowa LSR przebiegała zgodnie z planem i można ją uznać za zadowalającą?</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W jakim stopniu jakość składanych projektów wybieranych we wszystkich obszarach tematycznych wpływa na osiąganie wskaźników w zaplanowanym czasie?</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 W jakim stopniu stosowane kryteria wyboru projektów spełniają swoją rolę?</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W jakim stopniu wybierane projekty realizowane w ramach LSR przyczyniają się do osiągnięcia celów LSR i w jakim stopniu przyczyniają się do odpowiadania na potrzeby społeczności z obszaru LGD?</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przyjęty system wskaźników dostarcza wszystkie potrzebne informacje niezbędne do określenia skuteczności interwencyjnej strategii?</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procedury naboru wyboru i realizacji projektów są przyjazne dla beneficjentów?</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Jaka jest skuteczność działania biura LGD (działań animacyjnych, informacyjno-promocyjnych, doradczych)?</w:t>
      </w:r>
    </w:p>
    <w:p w:rsidR="003E6DA4" w:rsidRPr="00121FAD" w:rsidRDefault="003E6DA4" w:rsidP="003E6DA4">
      <w:pPr>
        <w:numPr>
          <w:ilvl w:val="0"/>
          <w:numId w:val="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Jakie zmiany należy wprowadzić w działaniach LGD, by skuteczniej realizowała cele LSR?</w:t>
      </w:r>
    </w:p>
    <w:p w:rsidR="003E6DA4" w:rsidRPr="00121FAD" w:rsidRDefault="003E6DA4" w:rsidP="003E6DA4">
      <w:pPr>
        <w:jc w:val="both"/>
        <w:rPr>
          <w:rFonts w:ascii="Times New Roman" w:hAnsi="Times New Roman" w:cs="Times New Roman"/>
          <w:color w:val="000000"/>
        </w:rPr>
      </w:pPr>
      <w:r w:rsidRPr="00121FAD">
        <w:rPr>
          <w:rFonts w:ascii="Times New Roman" w:hAnsi="Times New Roman" w:cs="Times New Roman"/>
          <w:color w:val="000000"/>
        </w:rPr>
        <w:t>Najważniejsze etapy monitoringu to:</w:t>
      </w:r>
    </w:p>
    <w:p w:rsidR="003E6DA4" w:rsidRPr="00121FAD" w:rsidRDefault="003E6DA4" w:rsidP="003E6DA4">
      <w:pPr>
        <w:pStyle w:val="Akapitzlist"/>
        <w:numPr>
          <w:ilvl w:val="0"/>
          <w:numId w:val="2"/>
        </w:numPr>
        <w:jc w:val="both"/>
        <w:rPr>
          <w:rFonts w:ascii="Times New Roman" w:hAnsi="Times New Roman" w:cs="Times New Roman"/>
          <w:color w:val="000000"/>
        </w:rPr>
      </w:pPr>
      <w:r w:rsidRPr="00121FAD">
        <w:rPr>
          <w:rFonts w:ascii="Times New Roman" w:hAnsi="Times New Roman" w:cs="Times New Roman"/>
          <w:color w:val="000000"/>
        </w:rPr>
        <w:lastRenderedPageBreak/>
        <w:t>ocena wskaźników w oparciu o przygotowaną matrycę logiczną LSR,</w:t>
      </w:r>
    </w:p>
    <w:p w:rsidR="003E6DA4" w:rsidRPr="00121FAD" w:rsidRDefault="003E6DA4" w:rsidP="003E6DA4">
      <w:pPr>
        <w:pStyle w:val="Akapitzlist"/>
        <w:numPr>
          <w:ilvl w:val="0"/>
          <w:numId w:val="2"/>
        </w:numPr>
        <w:jc w:val="both"/>
        <w:rPr>
          <w:rFonts w:ascii="Times New Roman" w:hAnsi="Times New Roman" w:cs="Times New Roman"/>
          <w:color w:val="000000"/>
        </w:rPr>
      </w:pPr>
      <w:r w:rsidRPr="00121FAD">
        <w:rPr>
          <w:rFonts w:ascii="Times New Roman" w:hAnsi="Times New Roman" w:cs="Times New Roman"/>
          <w:color w:val="000000"/>
        </w:rPr>
        <w:t>ocena stopnia realizacji budżetu wraz z planowaną liczbą operacji,</w:t>
      </w:r>
    </w:p>
    <w:p w:rsidR="003E6DA4" w:rsidRPr="00121FAD" w:rsidRDefault="003E6DA4" w:rsidP="003E6DA4">
      <w:pPr>
        <w:pStyle w:val="Akapitzlist"/>
        <w:numPr>
          <w:ilvl w:val="0"/>
          <w:numId w:val="2"/>
        </w:numPr>
        <w:jc w:val="both"/>
        <w:rPr>
          <w:rFonts w:ascii="Times New Roman" w:hAnsi="Times New Roman" w:cs="Times New Roman"/>
          <w:color w:val="000000"/>
        </w:rPr>
      </w:pPr>
      <w:r w:rsidRPr="00121FAD">
        <w:rPr>
          <w:rFonts w:ascii="Times New Roman" w:hAnsi="Times New Roman" w:cs="Times New Roman"/>
          <w:color w:val="000000"/>
        </w:rPr>
        <w:t>sporządzanie raportów i sprawozdań z: realizacji operacji i projektów grantowych, funkcjonowania LGD oraz monitoringu.</w:t>
      </w:r>
    </w:p>
    <w:p w:rsidR="003E6DA4" w:rsidRPr="00121FAD" w:rsidRDefault="003E6DA4" w:rsidP="003E6DA4">
      <w:pPr>
        <w:jc w:val="both"/>
        <w:rPr>
          <w:rFonts w:ascii="Times New Roman" w:hAnsi="Times New Roman" w:cs="Times New Roman"/>
          <w:color w:val="000000"/>
        </w:rPr>
      </w:pPr>
      <w:r w:rsidRPr="00121FAD">
        <w:rPr>
          <w:rFonts w:ascii="Times New Roman" w:hAnsi="Times New Roman" w:cs="Times New Roman"/>
          <w:color w:val="000000"/>
        </w:rPr>
        <w:t>Szczegółowa analiza i ocena prowadzonej przez LGD działalności odbywać się będzie:</w:t>
      </w:r>
    </w:p>
    <w:p w:rsidR="003E6DA4" w:rsidRPr="00121FAD" w:rsidRDefault="003E6DA4" w:rsidP="003E6DA4">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w czasie spotkań Zarządu oraz Rady LGD Stowarzyszenie LGD „Lepsza Przyszłość Ziemi Ryckiej”</w:t>
      </w:r>
    </w:p>
    <w:p w:rsidR="003E6DA4" w:rsidRPr="00121FAD" w:rsidRDefault="003E6DA4" w:rsidP="003E6DA4">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na podstawie analizy i oceny procesu wdrażania LSR, zawartej w raportach.</w:t>
      </w:r>
    </w:p>
    <w:p w:rsidR="003E6DA4" w:rsidRPr="003F2D3F" w:rsidRDefault="003E6DA4" w:rsidP="003E6DA4">
      <w:pPr>
        <w:pStyle w:val="Nagwek1"/>
        <w:jc w:val="both"/>
        <w:rPr>
          <w:rFonts w:ascii="Times New Roman" w:hAnsi="Times New Roman" w:cs="Times New Roman"/>
        </w:rPr>
      </w:pPr>
      <w:bookmarkStart w:id="1" w:name="_Toc509861941"/>
      <w:r w:rsidRPr="003F2D3F">
        <w:rPr>
          <w:rFonts w:ascii="Times New Roman" w:hAnsi="Times New Roman" w:cs="Times New Roman"/>
        </w:rPr>
        <w:t>Czy realizacja finansowa i rzeczowa LSR przebiegała zgodnie z planem i można ją uznać za zadowalającą?</w:t>
      </w:r>
      <w:bookmarkEnd w:id="1"/>
      <w:r w:rsidRPr="003F2D3F">
        <w:rPr>
          <w:rFonts w:ascii="Times New Roman" w:hAnsi="Times New Roman" w:cs="Times New Roman"/>
        </w:rPr>
        <w:t xml:space="preserve"> </w:t>
      </w:r>
    </w:p>
    <w:p w:rsidR="003E6DA4" w:rsidRDefault="003E6DA4" w:rsidP="003E6DA4"/>
    <w:p w:rsidR="003E6DA4" w:rsidRPr="003F2D3F" w:rsidRDefault="003E6DA4" w:rsidP="003E6DA4">
      <w:pPr>
        <w:pStyle w:val="HTML-wstpniesformatowany"/>
        <w:spacing w:line="276" w:lineRule="auto"/>
        <w:rPr>
          <w:rFonts w:ascii="Times New Roman" w:hAnsi="Times New Roman"/>
          <w:sz w:val="22"/>
          <w:szCs w:val="22"/>
        </w:rPr>
      </w:pPr>
      <w:r w:rsidRPr="003F2D3F">
        <w:rPr>
          <w:rFonts w:ascii="Times New Roman" w:hAnsi="Times New Roman"/>
          <w:sz w:val="22"/>
          <w:szCs w:val="22"/>
        </w:rPr>
        <w:t>Realizacja finansowa i rzeczowa Lokalnej Strategii Rozwoju przebiegała zgodnie z planem. W 2018 roku została zaktualizowana LSR, gdyż w wyniku braku zainteresowania projektami grantowymi postanowiono wykreślić Przedsięwzięcie 4.1</w:t>
      </w:r>
      <w:r w:rsidRPr="003F2D3F">
        <w:rPr>
          <w:rFonts w:ascii="Times New Roman" w:hAnsi="Times New Roman"/>
          <w:b/>
          <w:sz w:val="22"/>
          <w:szCs w:val="22"/>
        </w:rPr>
        <w:t xml:space="preserve">. </w:t>
      </w:r>
      <w:r w:rsidRPr="003F2D3F">
        <w:rPr>
          <w:rFonts w:ascii="Times New Roman" w:hAnsi="Times New Roman"/>
          <w:sz w:val="22"/>
          <w:szCs w:val="22"/>
        </w:rPr>
        <w:t xml:space="preserve">Imprezy, wystawy spotkania integracyjne w tym dotyczące ochrony środowiska i zmian klimatu oraz </w:t>
      </w:r>
      <w:r w:rsidRPr="003F2D3F">
        <w:rPr>
          <w:rFonts w:ascii="Times New Roman" w:hAnsi="Times New Roman"/>
          <w:sz w:val="22"/>
          <w:szCs w:val="22"/>
          <w:lang w:eastAsia="en-US"/>
        </w:rPr>
        <w:t>Przedsięwzięcie 4.2</w:t>
      </w:r>
      <w:r w:rsidRPr="003F2D3F">
        <w:rPr>
          <w:rFonts w:ascii="Times New Roman" w:hAnsi="Times New Roman"/>
          <w:b/>
          <w:sz w:val="22"/>
          <w:szCs w:val="22"/>
          <w:lang w:eastAsia="en-US"/>
        </w:rPr>
        <w:t xml:space="preserve"> </w:t>
      </w:r>
      <w:r w:rsidRPr="003F2D3F">
        <w:rPr>
          <w:rFonts w:ascii="Times New Roman" w:hAnsi="Times New Roman"/>
          <w:sz w:val="22"/>
          <w:szCs w:val="22"/>
        </w:rPr>
        <w:t>Imprezy i spotkania związane z turystyką i promocją turystyczną obszaru. Środki finansowe zostały przeniesione na Przedsięwzięcie 3.2</w:t>
      </w:r>
      <w:r w:rsidRPr="003F2D3F">
        <w:rPr>
          <w:rFonts w:ascii="Times New Roman" w:hAnsi="Times New Roman"/>
          <w:b/>
          <w:sz w:val="22"/>
          <w:szCs w:val="22"/>
        </w:rPr>
        <w:t xml:space="preserve">  </w:t>
      </w:r>
      <w:r w:rsidRPr="003F2D3F">
        <w:rPr>
          <w:rFonts w:ascii="Times New Roman" w:hAnsi="Times New Roman"/>
          <w:sz w:val="22"/>
          <w:szCs w:val="22"/>
        </w:rPr>
        <w:t xml:space="preserve">Budowa, modernizacja obiektów na cele turystyczne oraz Przedsięwzięcie 2.1 Inkubator wsparcia przedsiębiorczości na obszarze objęty LSR poprzez realizację operacji własnej. </w:t>
      </w:r>
    </w:p>
    <w:p w:rsidR="003E6DA4" w:rsidRPr="003F2D3F" w:rsidRDefault="003E6DA4" w:rsidP="003E6DA4">
      <w:pPr>
        <w:pStyle w:val="HTML-wstpniesformatowany"/>
        <w:spacing w:line="276" w:lineRule="auto"/>
        <w:rPr>
          <w:rFonts w:ascii="Times New Roman" w:hAnsi="Times New Roman"/>
          <w:sz w:val="22"/>
          <w:szCs w:val="22"/>
        </w:rPr>
      </w:pPr>
      <w:r w:rsidRPr="003F2D3F">
        <w:rPr>
          <w:rFonts w:ascii="Times New Roman" w:hAnsi="Times New Roman"/>
          <w:sz w:val="22"/>
          <w:szCs w:val="22"/>
        </w:rPr>
        <w:t>Wprowadzone zmiany wpłynęły pozy</w:t>
      </w:r>
      <w:r>
        <w:rPr>
          <w:rFonts w:ascii="Times New Roman" w:hAnsi="Times New Roman"/>
          <w:sz w:val="22"/>
          <w:szCs w:val="22"/>
        </w:rPr>
        <w:t>tywnie na realizacje LSR. Został</w:t>
      </w:r>
      <w:r w:rsidRPr="003F2D3F">
        <w:rPr>
          <w:rFonts w:ascii="Times New Roman" w:hAnsi="Times New Roman"/>
          <w:sz w:val="22"/>
          <w:szCs w:val="22"/>
        </w:rPr>
        <w:t xml:space="preserve">y osiągnięte minimalne wskaźniki a nawet większe niż minimalne co skutkuje możliwością ubiegania się o dodatkowe środki. </w:t>
      </w:r>
    </w:p>
    <w:p w:rsidR="003E6DA4" w:rsidRPr="003F2D3F" w:rsidRDefault="003E6DA4" w:rsidP="003E6DA4">
      <w:pPr>
        <w:spacing w:after="0"/>
        <w:jc w:val="both"/>
        <w:rPr>
          <w:rFonts w:ascii="Times New Roman" w:hAnsi="Times New Roman" w:cs="Times New Roman"/>
        </w:rPr>
      </w:pPr>
      <w:r w:rsidRPr="003F2D3F">
        <w:rPr>
          <w:rFonts w:ascii="Times New Roman" w:hAnsi="Times New Roman" w:cs="Times New Roman"/>
        </w:rPr>
        <w:t xml:space="preserve">  Jak widać po przeprowadzonej analizie wskaźników należy uznać, że realizacja zarówno finansowa jak i rzeczowa LSR jest zadowalająca.</w:t>
      </w:r>
    </w:p>
    <w:p w:rsidR="003E6DA4" w:rsidRPr="001519C8" w:rsidRDefault="003E6DA4" w:rsidP="003E6DA4">
      <w:pPr>
        <w:spacing w:after="0"/>
        <w:jc w:val="both"/>
        <w:rPr>
          <w:sz w:val="24"/>
          <w:szCs w:val="24"/>
        </w:rPr>
      </w:pPr>
    </w:p>
    <w:p w:rsidR="003E6DA4" w:rsidRPr="003F2D3F" w:rsidRDefault="003E6DA4" w:rsidP="003E6DA4">
      <w:pPr>
        <w:pStyle w:val="Nagwek1"/>
        <w:spacing w:before="0"/>
        <w:jc w:val="both"/>
        <w:rPr>
          <w:rFonts w:ascii="Times New Roman" w:hAnsi="Times New Roman" w:cs="Times New Roman"/>
        </w:rPr>
      </w:pPr>
      <w:bookmarkStart w:id="2" w:name="_Toc509861942"/>
      <w:r w:rsidRPr="003F2D3F">
        <w:rPr>
          <w:rFonts w:ascii="Times New Roman" w:hAnsi="Times New Roman" w:cs="Times New Roman"/>
        </w:rPr>
        <w:t>W jakim stopniu jakość składanych projektów wybieranych we wszystkich obszarach tematycznych wpływa na osiąganie wskaźników w zaplanowanym czasie?</w:t>
      </w:r>
      <w:bookmarkEnd w:id="2"/>
      <w:r w:rsidRPr="003F2D3F">
        <w:rPr>
          <w:rFonts w:ascii="Times New Roman" w:hAnsi="Times New Roman" w:cs="Times New Roman"/>
        </w:rPr>
        <w:t xml:space="preserve"> </w:t>
      </w:r>
    </w:p>
    <w:p w:rsidR="003E6DA4" w:rsidRPr="003F2D3F" w:rsidRDefault="003E6DA4" w:rsidP="003E6DA4">
      <w:pPr>
        <w:jc w:val="both"/>
        <w:rPr>
          <w:rFonts w:ascii="Times New Roman" w:hAnsi="Times New Roman" w:cs="Times New Roman"/>
        </w:rPr>
      </w:pPr>
    </w:p>
    <w:p w:rsidR="003E6DA4" w:rsidRPr="003F2D3F" w:rsidRDefault="003E6DA4" w:rsidP="003E6DA4">
      <w:pPr>
        <w:ind w:firstLine="708"/>
        <w:jc w:val="both"/>
        <w:rPr>
          <w:rFonts w:ascii="Times New Roman" w:hAnsi="Times New Roman" w:cs="Times New Roman"/>
        </w:rPr>
      </w:pPr>
      <w:r w:rsidRPr="003F2D3F">
        <w:rPr>
          <w:rFonts w:ascii="Times New Roman" w:hAnsi="Times New Roman" w:cs="Times New Roman"/>
        </w:rPr>
        <w:t xml:space="preserve">Jakość składanych projektów wybieranych do realizacji wpływa na osiąganie wskaźników w zaplanowanym czasie. Jakość wniosków składanych w ramach podejmowania i rozwijania działalności gospodarczej jest zadowalająca. Projekty składane są do LGD wraz ze wszystkimi załącznikami. Ich jakość wpływa bezpośrednio na ich ocenę w Urzędzie Marszałkowskim. W ostatnim okresie dało się zauważyć, że im wniosek lepiej napisany, który w swoich opisach oraz załącznikach obejmuje wszystkie niezbędne informacje tym jego sprawdzanie oraz ocena przebiega płynniej i sprawniej. </w:t>
      </w:r>
      <w:r>
        <w:rPr>
          <w:rFonts w:ascii="Times New Roman" w:hAnsi="Times New Roman" w:cs="Times New Roman"/>
        </w:rPr>
        <w:t xml:space="preserve"> Jakość wniosków pozytywnie wpłynęła na osiągnięcie zamierzonych wskaźników określonych w Planie Działania.</w:t>
      </w:r>
    </w:p>
    <w:p w:rsidR="003E6DA4" w:rsidRPr="003F2D3F" w:rsidRDefault="003E6DA4" w:rsidP="003E6DA4">
      <w:pPr>
        <w:rPr>
          <w:rFonts w:ascii="Times New Roman" w:hAnsi="Times New Roman" w:cs="Times New Roman"/>
        </w:rPr>
      </w:pPr>
    </w:p>
    <w:p w:rsidR="003E6DA4" w:rsidRPr="003F2D3F" w:rsidRDefault="003E6DA4" w:rsidP="003E6DA4">
      <w:pPr>
        <w:pStyle w:val="Nagwek1"/>
        <w:spacing w:before="0"/>
        <w:jc w:val="both"/>
        <w:rPr>
          <w:rFonts w:ascii="Times New Roman" w:hAnsi="Times New Roman" w:cs="Times New Roman"/>
          <w:sz w:val="22"/>
          <w:szCs w:val="22"/>
        </w:rPr>
      </w:pPr>
      <w:bookmarkStart w:id="3" w:name="_Toc509861943"/>
      <w:r w:rsidRPr="00562482">
        <w:rPr>
          <w:rFonts w:ascii="Times New Roman" w:hAnsi="Times New Roman" w:cs="Times New Roman"/>
        </w:rPr>
        <w:lastRenderedPageBreak/>
        <w:t>W jakim stopniu stosowane kryteria wyboru projektów spełniają swoją rolę?</w:t>
      </w:r>
      <w:bookmarkEnd w:id="3"/>
      <w:r w:rsidRPr="003F2D3F">
        <w:rPr>
          <w:rFonts w:ascii="Times New Roman" w:hAnsi="Times New Roman" w:cs="Times New Roman"/>
          <w:sz w:val="22"/>
          <w:szCs w:val="22"/>
        </w:rPr>
        <w:t xml:space="preserve"> </w:t>
      </w:r>
    </w:p>
    <w:p w:rsidR="003E6DA4" w:rsidRPr="003F2D3F" w:rsidRDefault="003E6DA4" w:rsidP="003E6DA4">
      <w:pPr>
        <w:rPr>
          <w:rFonts w:ascii="Times New Roman" w:hAnsi="Times New Roman" w:cs="Times New Roman"/>
        </w:rPr>
      </w:pPr>
    </w:p>
    <w:p w:rsidR="003E6DA4" w:rsidRPr="003F2D3F" w:rsidRDefault="003E6DA4" w:rsidP="003E6DA4">
      <w:pPr>
        <w:ind w:firstLine="708"/>
        <w:jc w:val="both"/>
        <w:rPr>
          <w:rFonts w:ascii="Times New Roman" w:hAnsi="Times New Roman" w:cs="Times New Roman"/>
        </w:rPr>
      </w:pPr>
      <w:r w:rsidRPr="003F2D3F">
        <w:rPr>
          <w:rFonts w:ascii="Times New Roman" w:hAnsi="Times New Roman" w:cs="Times New Roman"/>
        </w:rPr>
        <w:t>Stosowane kryteria wyboru operacji spełniają swoją rolę, czyli zostały zdefiniowane w taki sposób by wpływać na niwelację problemów obszaru Lokalnej Grupy Działania, które zawarte zostały w Lokalnej Strategii Rozwoju. Kryteria wyboru operacji są jednoznaczne, obiektywne i pozwalają wybrać najlepsze wnioski. Żaden z wnioskodawców nie zgłaszał uwag do ich zrozumiałości. Pomimo faktu, że kryteria wyboru operacji są jednoznaczne i jasno określone istnieje potrzeba ich aktualizacji.  W ramach operacji własnej aby lokalne kryteria dla operacji własnej były dostosowane osobno do sytuacji gdy to LGD realizuje operację własną oraz gdy inny podmiot zgłosi zamiar realizacji takiej operacji. Kryteria wyboru operacji powinny być obiektywne i pozwolić uniknąć konfliktów interesów.</w:t>
      </w:r>
    </w:p>
    <w:p w:rsidR="003E6DA4" w:rsidRPr="003F2D3F" w:rsidRDefault="003E6DA4" w:rsidP="003E6DA4">
      <w:pPr>
        <w:rPr>
          <w:rFonts w:ascii="Times New Roman" w:hAnsi="Times New Roman" w:cs="Times New Roman"/>
        </w:rPr>
      </w:pPr>
    </w:p>
    <w:p w:rsidR="003E6DA4" w:rsidRPr="00562482" w:rsidRDefault="003E6DA4" w:rsidP="003E6DA4">
      <w:pPr>
        <w:pStyle w:val="Nagwek1"/>
        <w:spacing w:before="0"/>
        <w:jc w:val="both"/>
        <w:rPr>
          <w:rFonts w:ascii="Times New Roman" w:hAnsi="Times New Roman" w:cs="Times New Roman"/>
        </w:rPr>
      </w:pPr>
      <w:bookmarkStart w:id="4" w:name="_Toc509861944"/>
      <w:r w:rsidRPr="00562482">
        <w:rPr>
          <w:rFonts w:ascii="Times New Roman" w:hAnsi="Times New Roman" w:cs="Times New Roman"/>
        </w:rPr>
        <w:t>W jakim stopniu wybierane projekty realizowane w ramach LSR przyczyniają się do osiągnięcia celów LSR i w jakim stopniu przyczyniają się do odpowiadania na potrzeby społeczności z obszaru LGD?</w:t>
      </w:r>
      <w:bookmarkEnd w:id="4"/>
      <w:r w:rsidRPr="00562482">
        <w:rPr>
          <w:rFonts w:ascii="Times New Roman" w:hAnsi="Times New Roman" w:cs="Times New Roman"/>
        </w:rPr>
        <w:t xml:space="preserve"> </w:t>
      </w:r>
    </w:p>
    <w:p w:rsidR="003E6DA4" w:rsidRPr="003F2D3F" w:rsidRDefault="003E6DA4" w:rsidP="003E6DA4">
      <w:pPr>
        <w:rPr>
          <w:rFonts w:ascii="Times New Roman" w:hAnsi="Times New Roman" w:cs="Times New Roman"/>
        </w:rPr>
      </w:pPr>
    </w:p>
    <w:p w:rsidR="003E6DA4" w:rsidRPr="003F2D3F" w:rsidRDefault="003E6DA4" w:rsidP="003E6DA4">
      <w:pPr>
        <w:spacing w:after="0"/>
        <w:ind w:firstLine="708"/>
        <w:jc w:val="both"/>
        <w:rPr>
          <w:rFonts w:ascii="Times New Roman" w:hAnsi="Times New Roman" w:cs="Times New Roman"/>
        </w:rPr>
      </w:pPr>
      <w:r w:rsidRPr="003F2D3F">
        <w:rPr>
          <w:rFonts w:ascii="Times New Roman" w:hAnsi="Times New Roman" w:cs="Times New Roman"/>
        </w:rPr>
        <w:t>Na etapie tworzenia Lokalnej Strategii Rozwoju Stowarzyszenie przeprowadziło szereg spotkań z mieszkańcami obszaru. Dzięki temu cele określone w LSR są tak skonstruowane, by w jak największym stopniu odpowiadały potrzebom społeczności z obszaru Lokalnej Grupy Działania. Realizowane projekty są zgodne z celami zawartymi w LSR. Już podczas wstępnej oceny wniosków oceniane jest to, czy operacja przyczynia się do realizacji celu głównego i celów szczegółowych LSR poprzez osiąganie zaplanowanych w LSR wskaźników.</w:t>
      </w:r>
    </w:p>
    <w:p w:rsidR="003E6DA4" w:rsidRPr="003F2D3F" w:rsidRDefault="003E6DA4" w:rsidP="003E6DA4">
      <w:pPr>
        <w:spacing w:after="0"/>
        <w:ind w:firstLine="708"/>
        <w:jc w:val="both"/>
        <w:rPr>
          <w:rFonts w:ascii="Times New Roman" w:hAnsi="Times New Roman" w:cs="Times New Roman"/>
        </w:rPr>
      </w:pPr>
      <w:r w:rsidRPr="003F2D3F">
        <w:rPr>
          <w:rFonts w:ascii="Times New Roman" w:hAnsi="Times New Roman" w:cs="Times New Roman"/>
        </w:rPr>
        <w:t xml:space="preserve">Obserwując zmiany w sytuacji społeczno-gospodarczej terenu LGD, które mogą mieć wpływ na dezaktualizację LSR główną z nich jest zmniejszenie stopy bezrobocia.  Nie odnotowuje się jednak zróżnicowania potrzeb między poszczególnymi gminami wchodzącymi w skład Lokalnej Grupy Działania. </w:t>
      </w:r>
    </w:p>
    <w:p w:rsidR="003E6DA4" w:rsidRPr="003F2D3F" w:rsidRDefault="003E6DA4" w:rsidP="003E6DA4">
      <w:pPr>
        <w:spacing w:after="0"/>
        <w:jc w:val="both"/>
        <w:rPr>
          <w:rFonts w:ascii="Times New Roman" w:eastAsia="Times New Roman" w:hAnsi="Times New Roman" w:cs="Times New Roman"/>
        </w:rPr>
      </w:pPr>
    </w:p>
    <w:p w:rsidR="003E6DA4" w:rsidRPr="003F2D3F" w:rsidRDefault="003E6DA4" w:rsidP="003E6DA4">
      <w:pPr>
        <w:rPr>
          <w:rFonts w:ascii="Times New Roman" w:hAnsi="Times New Roman" w:cs="Times New Roman"/>
        </w:rPr>
      </w:pPr>
    </w:p>
    <w:p w:rsidR="003E6DA4" w:rsidRPr="00562482" w:rsidRDefault="003E6DA4" w:rsidP="003E6DA4">
      <w:pPr>
        <w:pStyle w:val="Nagwek1"/>
        <w:spacing w:before="0"/>
        <w:jc w:val="both"/>
        <w:rPr>
          <w:rFonts w:ascii="Times New Roman" w:hAnsi="Times New Roman" w:cs="Times New Roman"/>
        </w:rPr>
      </w:pPr>
      <w:bookmarkStart w:id="5" w:name="_Toc509861946"/>
      <w:r w:rsidRPr="00562482">
        <w:rPr>
          <w:rFonts w:ascii="Times New Roman" w:hAnsi="Times New Roman" w:cs="Times New Roman"/>
        </w:rPr>
        <w:t>Czy procedury naboru wyboru i realizacji projektów są przyjazne dla beneficjentów?</w:t>
      </w:r>
      <w:bookmarkEnd w:id="5"/>
      <w:r w:rsidRPr="00562482">
        <w:rPr>
          <w:rFonts w:ascii="Times New Roman" w:hAnsi="Times New Roman" w:cs="Times New Roman"/>
        </w:rPr>
        <w:t xml:space="preserve"> </w:t>
      </w:r>
    </w:p>
    <w:p w:rsidR="003E6DA4" w:rsidRPr="003F2D3F" w:rsidRDefault="003E6DA4" w:rsidP="003E6DA4">
      <w:pPr>
        <w:rPr>
          <w:rFonts w:ascii="Times New Roman" w:hAnsi="Times New Roman" w:cs="Times New Roman"/>
        </w:rPr>
      </w:pPr>
    </w:p>
    <w:p w:rsidR="003E6DA4" w:rsidRPr="003F2D3F" w:rsidRDefault="003E6DA4" w:rsidP="003E6DA4">
      <w:pPr>
        <w:ind w:firstLine="708"/>
        <w:jc w:val="both"/>
        <w:rPr>
          <w:rFonts w:ascii="Times New Roman" w:hAnsi="Times New Roman" w:cs="Times New Roman"/>
        </w:rPr>
      </w:pPr>
      <w:r w:rsidRPr="003F2D3F">
        <w:rPr>
          <w:rFonts w:ascii="Times New Roman" w:hAnsi="Times New Roman" w:cs="Times New Roman"/>
        </w:rPr>
        <w:t xml:space="preserve">Procedury naboru wyboru i realizacji projektów były tworzone w taki sposób, by spełniać wszystkie wymogi Programu Rozwoju Obszarów Wiejskich. Były dostosowywane do obowiązujących Wytycznych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p>
    <w:p w:rsidR="003E6DA4" w:rsidRPr="003F2D3F" w:rsidRDefault="003E6DA4" w:rsidP="003E6DA4">
      <w:pPr>
        <w:rPr>
          <w:rFonts w:ascii="Times New Roman" w:hAnsi="Times New Roman" w:cs="Times New Roman"/>
        </w:rPr>
      </w:pPr>
    </w:p>
    <w:p w:rsidR="003E6DA4" w:rsidRPr="003F2D3F" w:rsidRDefault="003E6DA4" w:rsidP="003E6DA4">
      <w:pPr>
        <w:pStyle w:val="Nagwek1"/>
        <w:spacing w:before="0"/>
        <w:jc w:val="both"/>
        <w:rPr>
          <w:rFonts w:ascii="Times New Roman" w:hAnsi="Times New Roman" w:cs="Times New Roman"/>
          <w:sz w:val="22"/>
          <w:szCs w:val="22"/>
        </w:rPr>
      </w:pPr>
      <w:bookmarkStart w:id="6" w:name="_Toc509861947"/>
      <w:r w:rsidRPr="00562482">
        <w:rPr>
          <w:rFonts w:ascii="Times New Roman" w:hAnsi="Times New Roman" w:cs="Times New Roman"/>
        </w:rPr>
        <w:lastRenderedPageBreak/>
        <w:t>Jaka jest skuteczność działania biura LGD (działań animacyjnych, informacyjno-promocyjnych, doradczych)?</w:t>
      </w:r>
      <w:bookmarkEnd w:id="6"/>
      <w:r w:rsidRPr="003F2D3F">
        <w:rPr>
          <w:rFonts w:ascii="Times New Roman" w:hAnsi="Times New Roman" w:cs="Times New Roman"/>
          <w:sz w:val="22"/>
          <w:szCs w:val="22"/>
        </w:rPr>
        <w:t xml:space="preserve"> </w:t>
      </w:r>
    </w:p>
    <w:p w:rsidR="003E6DA4" w:rsidRPr="003F2D3F" w:rsidRDefault="003E6DA4" w:rsidP="003E6DA4">
      <w:pPr>
        <w:jc w:val="both"/>
        <w:rPr>
          <w:rFonts w:ascii="Times New Roman" w:hAnsi="Times New Roman" w:cs="Times New Roman"/>
        </w:rPr>
      </w:pPr>
    </w:p>
    <w:p w:rsidR="003E6DA4" w:rsidRPr="003F2D3F" w:rsidRDefault="003E6DA4" w:rsidP="003E6DA4">
      <w:pPr>
        <w:spacing w:after="0"/>
        <w:ind w:firstLine="708"/>
        <w:jc w:val="both"/>
        <w:rPr>
          <w:rFonts w:ascii="Times New Roman" w:hAnsi="Times New Roman" w:cs="Times New Roman"/>
        </w:rPr>
      </w:pPr>
      <w:r w:rsidRPr="003F2D3F">
        <w:rPr>
          <w:rFonts w:ascii="Times New Roman" w:hAnsi="Times New Roman" w:cs="Times New Roman"/>
        </w:rPr>
        <w:t xml:space="preserve">LGD realizuje zadania zgodnie z planem komunikacji. Biuro LGD jest czynne od poniedziałku do piątku, w godzinach </w:t>
      </w:r>
      <w:r w:rsidRPr="003F2D3F">
        <w:rPr>
          <w:rFonts w:ascii="Times New Roman" w:hAnsi="Times New Roman" w:cs="Times New Roman"/>
          <w:bCs/>
        </w:rPr>
        <w:t>od 8.00-16.00. Podczas naborów wniosków prowadzony jest także</w:t>
      </w:r>
      <w:r w:rsidRPr="003F2D3F">
        <w:rPr>
          <w:rFonts w:ascii="Times New Roman" w:hAnsi="Times New Roman" w:cs="Times New Roman"/>
        </w:rPr>
        <w:t xml:space="preserve"> </w:t>
      </w:r>
      <w:r w:rsidRPr="003F2D3F">
        <w:rPr>
          <w:rFonts w:ascii="Times New Roman" w:hAnsi="Times New Roman" w:cs="Times New Roman"/>
          <w:bCs/>
        </w:rPr>
        <w:t>punkt konsultacyjny</w:t>
      </w:r>
      <w:r w:rsidRPr="003F2D3F">
        <w:rPr>
          <w:rFonts w:ascii="Times New Roman" w:hAnsi="Times New Roman" w:cs="Times New Roman"/>
        </w:rPr>
        <w:t xml:space="preserve">. </w:t>
      </w:r>
    </w:p>
    <w:p w:rsidR="003E6DA4" w:rsidRPr="003F2D3F" w:rsidRDefault="003E6DA4" w:rsidP="003E6DA4">
      <w:pPr>
        <w:spacing w:after="0"/>
        <w:ind w:firstLine="708"/>
        <w:jc w:val="both"/>
        <w:rPr>
          <w:rFonts w:ascii="Times New Roman" w:hAnsi="Times New Roman" w:cs="Times New Roman"/>
        </w:rPr>
      </w:pPr>
      <w:r w:rsidRPr="003F2D3F">
        <w:rPr>
          <w:rFonts w:ascii="Times New Roman" w:hAnsi="Times New Roman" w:cs="Times New Roman"/>
        </w:rPr>
        <w:t xml:space="preserve">Prowadzona jest strona internetowa www.lokalnagrupadzialania.pl, na której na bieżąco zamieszczane są aktualne informacje.  Szczególnie dużo wejść na stronę internetową obserwuje się podczas naborów wniosków. Przeprowadzono </w:t>
      </w:r>
      <w:r w:rsidR="00654282">
        <w:rPr>
          <w:rFonts w:ascii="Times New Roman" w:hAnsi="Times New Roman" w:cs="Times New Roman"/>
        </w:rPr>
        <w:t>11 spotkań</w:t>
      </w:r>
      <w:r w:rsidRPr="003F2D3F">
        <w:rPr>
          <w:rFonts w:ascii="Times New Roman" w:hAnsi="Times New Roman" w:cs="Times New Roman"/>
        </w:rPr>
        <w:t xml:space="preserve"> informacyjno-konsultacyjn</w:t>
      </w:r>
      <w:r w:rsidR="00654282">
        <w:rPr>
          <w:rFonts w:ascii="Times New Roman" w:hAnsi="Times New Roman" w:cs="Times New Roman"/>
        </w:rPr>
        <w:t>ych</w:t>
      </w:r>
      <w:r w:rsidRPr="003F2D3F">
        <w:rPr>
          <w:rFonts w:ascii="Times New Roman" w:hAnsi="Times New Roman" w:cs="Times New Roman"/>
        </w:rPr>
        <w:t xml:space="preserve"> dla  mieszkańców LGD. Dodatkowo doradztwo prowadzona podczas wydarzeń tj: dożynki, Agro Show.</w:t>
      </w:r>
    </w:p>
    <w:p w:rsidR="00654282" w:rsidRPr="003F2D3F" w:rsidRDefault="00654282" w:rsidP="003E6DA4">
      <w:pPr>
        <w:jc w:val="both"/>
        <w:rPr>
          <w:rFonts w:ascii="Times New Roman" w:hAnsi="Times New Roman" w:cs="Times New Roman"/>
        </w:rPr>
      </w:pPr>
      <w:r>
        <w:rPr>
          <w:rFonts w:ascii="Times New Roman" w:hAnsi="Times New Roman" w:cs="Times New Roman"/>
        </w:rPr>
        <w:t>Pracownicy uczestniczą w</w:t>
      </w:r>
      <w:r w:rsidR="003E6DA4" w:rsidRPr="003F2D3F">
        <w:rPr>
          <w:rFonts w:ascii="Times New Roman" w:hAnsi="Times New Roman" w:cs="Times New Roman"/>
        </w:rPr>
        <w:t xml:space="preserve"> wydarzeniach odbywających się poza terenem LGD, gdzie promowano obszar Stowarzyszenia. Stowarzyszenie dla własnych potrzeb przeprowadziło badanie dotyczące poziomu satysfakcji z przeprowadzonego doradztwa, z którego wynika, że większość osób było zadowolonych z usług doradczo – szkoleniowych.   </w:t>
      </w:r>
      <w:r>
        <w:rPr>
          <w:rFonts w:ascii="Times New Roman" w:hAnsi="Times New Roman" w:cs="Times New Roman"/>
        </w:rPr>
        <w:t xml:space="preserve"> Zaplanowane działania komunikacyjne są realizowane na poziomie wyższym niż określone w Planie Komunikacji. </w:t>
      </w:r>
    </w:p>
    <w:p w:rsidR="003E6DA4" w:rsidRPr="003F2D3F" w:rsidRDefault="003E6DA4" w:rsidP="003E6DA4">
      <w:pPr>
        <w:jc w:val="both"/>
        <w:rPr>
          <w:rFonts w:ascii="Times New Roman" w:hAnsi="Times New Roman" w:cs="Times New Roman"/>
        </w:rPr>
      </w:pPr>
    </w:p>
    <w:p w:rsidR="003E6DA4" w:rsidRPr="00562482" w:rsidRDefault="003E6DA4" w:rsidP="003E6DA4">
      <w:pPr>
        <w:pStyle w:val="Nagwek1"/>
        <w:spacing w:before="0"/>
        <w:jc w:val="both"/>
        <w:rPr>
          <w:rFonts w:ascii="Times New Roman" w:hAnsi="Times New Roman" w:cs="Times New Roman"/>
        </w:rPr>
      </w:pPr>
      <w:bookmarkStart w:id="7" w:name="_Toc509861948"/>
      <w:r w:rsidRPr="00562482">
        <w:rPr>
          <w:rFonts w:ascii="Times New Roman" w:hAnsi="Times New Roman" w:cs="Times New Roman"/>
        </w:rPr>
        <w:t>Jakie zmiany należy wprowadzić w działaniach LGD, by skuteczniej realizowała cele LSR?</w:t>
      </w:r>
      <w:bookmarkEnd w:id="7"/>
      <w:r w:rsidRPr="00562482">
        <w:rPr>
          <w:rFonts w:ascii="Times New Roman" w:hAnsi="Times New Roman" w:cs="Times New Roman"/>
        </w:rPr>
        <w:t xml:space="preserve"> </w:t>
      </w:r>
    </w:p>
    <w:p w:rsidR="003E6DA4" w:rsidRPr="003F2D3F" w:rsidRDefault="003E6DA4" w:rsidP="003E6DA4">
      <w:pPr>
        <w:rPr>
          <w:rFonts w:ascii="Times New Roman" w:hAnsi="Times New Roman" w:cs="Times New Roman"/>
        </w:rPr>
      </w:pPr>
    </w:p>
    <w:p w:rsidR="003E6DA4" w:rsidRPr="003F2D3F" w:rsidRDefault="003E6DA4" w:rsidP="003E6DA4">
      <w:pPr>
        <w:ind w:firstLine="708"/>
        <w:jc w:val="both"/>
        <w:rPr>
          <w:rFonts w:ascii="Times New Roman" w:hAnsi="Times New Roman" w:cs="Times New Roman"/>
        </w:rPr>
      </w:pPr>
      <w:r w:rsidRPr="003F2D3F">
        <w:rPr>
          <w:rFonts w:ascii="Times New Roman" w:hAnsi="Times New Roman" w:cs="Times New Roman"/>
        </w:rPr>
        <w:t xml:space="preserve">W trakcie warsztatów, w toku dyskusji, wypracowane zostały wnioski odnośnie działań jaki należy podjąć, by skuteczniej realizowały cele LSR. Zintensyfikowanie ilości spotkań szkoleniowych dla beneficjentów  oraz indywidualnego doradztwa i pomocy przy przygotowaniu wniosków powinno  w kolejnych naborach wpłynąć na ich jakość, która przełoży się  na prawidłową realizację wskaźników. Zwrócono również uwagę, na monitorowanie złożonych do Urzędu Marszałkowskiego wniosków. Zdarzało się, że wnioski były wycofywane i odrzucane z powodu braku uzupełnień. Takiej sytuacji mógłby  zapobiec kontakt z Wnioskodawcą i pomoc w trakcie uzupełnień braków i/lub oczywistych omyłek.    </w:t>
      </w:r>
    </w:p>
    <w:p w:rsidR="003E6DA4" w:rsidRPr="003F2D3F" w:rsidRDefault="003E6DA4" w:rsidP="003E6DA4">
      <w:pPr>
        <w:ind w:firstLine="708"/>
        <w:jc w:val="both"/>
        <w:rPr>
          <w:rFonts w:ascii="Times New Roman" w:hAnsi="Times New Roman" w:cs="Times New Roman"/>
        </w:rPr>
      </w:pPr>
      <w:r w:rsidRPr="003F2D3F">
        <w:rPr>
          <w:rFonts w:ascii="Times New Roman" w:hAnsi="Times New Roman" w:cs="Times New Roman"/>
        </w:rPr>
        <w:t>Beneficjenci zasugerowali aby Współpraca między LGD a Gminami była bardziej efektywna poprzez rozpowszechnianie informacji na temat naborów wniosków na tablicach ogłoszeń w gminach oraz na swoich stronach www.</w:t>
      </w:r>
    </w:p>
    <w:p w:rsidR="003E6DA4" w:rsidRPr="00E42119" w:rsidRDefault="003E6DA4" w:rsidP="003E6DA4">
      <w:pPr>
        <w:ind w:firstLine="708"/>
        <w:jc w:val="both"/>
      </w:pPr>
      <w:r w:rsidRPr="003F2D3F">
        <w:rPr>
          <w:rFonts w:ascii="Times New Roman" w:hAnsi="Times New Roman" w:cs="Times New Roman"/>
        </w:rPr>
        <w:t>Kolejnym problemem na którym zwrócili uwagę uczestnicy warsztatu jest słaba promocja LGD oraz działań realizowanych przez Stowarzyszenie.</w:t>
      </w:r>
    </w:p>
    <w:p w:rsidR="003E6DA4" w:rsidRDefault="003E6DA4" w:rsidP="003E6DA4"/>
    <w:p w:rsidR="003E6DA4" w:rsidRPr="00E42119" w:rsidRDefault="003E6DA4" w:rsidP="003E6DA4"/>
    <w:p w:rsidR="000C6204" w:rsidRDefault="000C6204" w:rsidP="003E6DA4"/>
    <w:sectPr w:rsidR="000C62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AA" w:rsidRDefault="009E10AA" w:rsidP="00654282">
      <w:pPr>
        <w:spacing w:after="0" w:line="240" w:lineRule="auto"/>
      </w:pPr>
      <w:r>
        <w:separator/>
      </w:r>
    </w:p>
  </w:endnote>
  <w:endnote w:type="continuationSeparator" w:id="0">
    <w:p w:rsidR="009E10AA" w:rsidRDefault="009E10AA" w:rsidP="0065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93650"/>
      <w:docPartObj>
        <w:docPartGallery w:val="Page Numbers (Bottom of Page)"/>
        <w:docPartUnique/>
      </w:docPartObj>
    </w:sdtPr>
    <w:sdtContent>
      <w:sdt>
        <w:sdtPr>
          <w:id w:val="1728636285"/>
          <w:docPartObj>
            <w:docPartGallery w:val="Page Numbers (Top of Page)"/>
            <w:docPartUnique/>
          </w:docPartObj>
        </w:sdtPr>
        <w:sdtContent>
          <w:p w:rsidR="00654282" w:rsidRDefault="0065428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654282" w:rsidRDefault="00654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AA" w:rsidRDefault="009E10AA" w:rsidP="00654282">
      <w:pPr>
        <w:spacing w:after="0" w:line="240" w:lineRule="auto"/>
      </w:pPr>
      <w:r>
        <w:separator/>
      </w:r>
    </w:p>
  </w:footnote>
  <w:footnote w:type="continuationSeparator" w:id="0">
    <w:p w:rsidR="009E10AA" w:rsidRDefault="009E10AA" w:rsidP="00654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82" w:rsidRDefault="00654282" w:rsidP="00654282">
    <w:pPr>
      <w:pStyle w:val="Nagwek"/>
      <w:rPr>
        <w:noProof/>
        <w:lang w:eastAsia="pl-PL"/>
      </w:rPr>
    </w:pPr>
    <w:r>
      <w:ptab w:relativeTo="margin" w:alignment="center" w:leader="none"/>
    </w:r>
    <w:r>
      <w:rPr>
        <w:noProof/>
        <w:lang w:eastAsia="pl-PL"/>
      </w:rPr>
      <w:drawing>
        <wp:inline distT="0" distB="0" distL="0" distR="0" wp14:anchorId="1BB2CB5D" wp14:editId="35305DC5">
          <wp:extent cx="809625" cy="537539"/>
          <wp:effectExtent l="0" t="0" r="0" b="0"/>
          <wp:docPr id="1"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817444" cy="54273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1B8A0C29" wp14:editId="1A014036">
          <wp:extent cx="495300" cy="521716"/>
          <wp:effectExtent l="0" t="0" r="0"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500407" cy="52709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3D091DC0" wp14:editId="21C72931">
          <wp:extent cx="542925" cy="54292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542925" cy="54292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14:anchorId="7083F97D" wp14:editId="12073590">
          <wp:extent cx="838200" cy="554599"/>
          <wp:effectExtent l="0" t="0" r="0"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847547" cy="560784"/>
                  </a:xfrm>
                  <a:prstGeom prst="rect">
                    <a:avLst/>
                  </a:prstGeom>
                  <a:noFill/>
                  <a:ln w="9525">
                    <a:noFill/>
                    <a:miter lim="800000"/>
                    <a:headEnd/>
                    <a:tailEnd/>
                  </a:ln>
                </pic:spPr>
              </pic:pic>
            </a:graphicData>
          </a:graphic>
        </wp:inline>
      </w:drawing>
    </w:r>
  </w:p>
  <w:p w:rsidR="00654282" w:rsidRDefault="00654282" w:rsidP="00654282">
    <w:pPr>
      <w:pStyle w:val="Nagwek"/>
      <w:jc w:val="center"/>
      <w:rPr>
        <w:sz w:val="20"/>
        <w:szCs w:val="20"/>
      </w:rPr>
    </w:pPr>
  </w:p>
  <w:p w:rsidR="00654282" w:rsidRPr="00517B4E" w:rsidRDefault="00654282" w:rsidP="00654282">
    <w:pPr>
      <w:pStyle w:val="Nagwek"/>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 Europa Inwestująca w Obszary Wiejskie</w:t>
    </w:r>
    <w:r>
      <w:rPr>
        <w:sz w:val="20"/>
        <w:szCs w:val="20"/>
      </w:rPr>
      <w:t>”</w:t>
    </w:r>
  </w:p>
  <w:p w:rsidR="00654282" w:rsidRDefault="006542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889"/>
    <w:multiLevelType w:val="multilevel"/>
    <w:tmpl w:val="76E6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E7FE7"/>
    <w:multiLevelType w:val="hybridMultilevel"/>
    <w:tmpl w:val="080E3EBA"/>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4D44F2"/>
    <w:multiLevelType w:val="hybridMultilevel"/>
    <w:tmpl w:val="6682E784"/>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A4"/>
    <w:rsid w:val="000C6204"/>
    <w:rsid w:val="003E6DA4"/>
    <w:rsid w:val="00654282"/>
    <w:rsid w:val="009E1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1B5A5-1E9F-4736-BDE5-53754D76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DA4"/>
    <w:pPr>
      <w:spacing w:after="200" w:line="276" w:lineRule="auto"/>
    </w:pPr>
  </w:style>
  <w:style w:type="paragraph" w:styleId="Nagwek1">
    <w:name w:val="heading 1"/>
    <w:basedOn w:val="Normalny"/>
    <w:next w:val="Normalny"/>
    <w:link w:val="Nagwek1Znak"/>
    <w:uiPriority w:val="9"/>
    <w:qFormat/>
    <w:rsid w:val="003E6D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6DA4"/>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uiPriority w:val="34"/>
    <w:qFormat/>
    <w:rsid w:val="003E6DA4"/>
    <w:pPr>
      <w:ind w:left="720"/>
      <w:contextualSpacing/>
    </w:pPr>
  </w:style>
  <w:style w:type="paragraph" w:styleId="HTML-wstpniesformatowany">
    <w:name w:val="HTML Preformatted"/>
    <w:basedOn w:val="Normalny"/>
    <w:link w:val="HTML-wstpniesformatowanyZnak"/>
    <w:uiPriority w:val="99"/>
    <w:unhideWhenUsed/>
    <w:rsid w:val="003E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3E6DA4"/>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654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282"/>
  </w:style>
  <w:style w:type="paragraph" w:styleId="Stopka">
    <w:name w:val="footer"/>
    <w:basedOn w:val="Normalny"/>
    <w:link w:val="StopkaZnak"/>
    <w:uiPriority w:val="99"/>
    <w:unhideWhenUsed/>
    <w:rsid w:val="00654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1402</Words>
  <Characters>8414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 Wąsowska</cp:lastModifiedBy>
  <cp:revision>1</cp:revision>
  <dcterms:created xsi:type="dcterms:W3CDTF">2019-03-24T15:22:00Z</dcterms:created>
  <dcterms:modified xsi:type="dcterms:W3CDTF">2019-03-24T15:49:00Z</dcterms:modified>
</cp:coreProperties>
</file>