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F" w:rsidRPr="002A0704" w:rsidRDefault="00D324EC">
      <w:pPr>
        <w:rPr>
          <w:b/>
        </w:rPr>
      </w:pPr>
      <w:r w:rsidRPr="002A0704">
        <w:rPr>
          <w:b/>
        </w:rPr>
        <w:t xml:space="preserve">Sprawozdanie merytoryczne (rzeczowe) z działalności </w:t>
      </w:r>
      <w:r w:rsidR="00F73590">
        <w:rPr>
          <w:b/>
        </w:rPr>
        <w:t xml:space="preserve">Zarządu </w:t>
      </w:r>
      <w:r w:rsidRPr="002A0704">
        <w:rPr>
          <w:b/>
        </w:rPr>
        <w:t>Stowarzyszenia LGD ‘Lepsz</w:t>
      </w:r>
      <w:r w:rsidR="00875166">
        <w:rPr>
          <w:b/>
        </w:rPr>
        <w:t xml:space="preserve">a Przyszłość Ziemi Ryckiej” od </w:t>
      </w:r>
      <w:r w:rsidR="009930F0">
        <w:rPr>
          <w:b/>
        </w:rPr>
        <w:t>3</w:t>
      </w:r>
      <w:r w:rsidRPr="002A0704">
        <w:rPr>
          <w:b/>
        </w:rPr>
        <w:t xml:space="preserve"> listopada 2015 r. do 31 grudnia 2015 r.</w:t>
      </w:r>
    </w:p>
    <w:p w:rsidR="00D324EC" w:rsidRPr="002A0704" w:rsidRDefault="00D324EC">
      <w:pPr>
        <w:rPr>
          <w:b/>
        </w:rPr>
      </w:pPr>
      <w:r w:rsidRPr="002A0704">
        <w:rPr>
          <w:b/>
        </w:rPr>
        <w:t>Dane identyfikacyjne</w:t>
      </w:r>
    </w:p>
    <w:p w:rsidR="00D324EC" w:rsidRDefault="00D324EC">
      <w:r>
        <w:t>Stowarzyszenie LGD „Lepsza Przyszłość Ziemi Ryckiej” z siedzibą w Rykach zarejestrowane jest w Sądzie Rejonowym w Lublinie, XI Wydział Gospodarczy Krajowego Rejestru Sądowego od dnia 10-09-2008 pod numerem KRS 0000312563 oraz numerem REGON 060436179</w:t>
      </w:r>
    </w:p>
    <w:p w:rsidR="00D324EC" w:rsidRDefault="00D324EC"/>
    <w:p w:rsidR="00D324EC" w:rsidRPr="002A0704" w:rsidRDefault="00D324EC">
      <w:pPr>
        <w:rPr>
          <w:b/>
        </w:rPr>
      </w:pPr>
      <w:r w:rsidRPr="002A0704">
        <w:rPr>
          <w:b/>
        </w:rPr>
        <w:t>Na dzień posiedzenia Walnego Zgromadzenia Zebrania Członków w skład Zarządu wchodziły następujące osoby:</w:t>
      </w:r>
    </w:p>
    <w:p w:rsidR="00D324EC" w:rsidRDefault="00D324EC" w:rsidP="00D324EC">
      <w:pPr>
        <w:pStyle w:val="Akapitzlist"/>
        <w:numPr>
          <w:ilvl w:val="0"/>
          <w:numId w:val="1"/>
        </w:numPr>
      </w:pPr>
      <w:r>
        <w:t>Anna Wąsowska – Prezes Zarządu</w:t>
      </w:r>
    </w:p>
    <w:p w:rsidR="00D324EC" w:rsidRDefault="00D324EC" w:rsidP="00D324EC">
      <w:pPr>
        <w:pStyle w:val="Akapitzlist"/>
        <w:numPr>
          <w:ilvl w:val="0"/>
          <w:numId w:val="1"/>
        </w:numPr>
      </w:pPr>
      <w:r>
        <w:t>Dar</w:t>
      </w:r>
      <w:r w:rsidR="00C10377">
        <w:t>iu</w:t>
      </w:r>
      <w:r>
        <w:t>sz Szczygielski – Wiceprezes Zarządu</w:t>
      </w:r>
    </w:p>
    <w:p w:rsidR="00C10377" w:rsidRDefault="00C10377" w:rsidP="00D324EC">
      <w:pPr>
        <w:pStyle w:val="Akapitzlist"/>
        <w:numPr>
          <w:ilvl w:val="0"/>
          <w:numId w:val="1"/>
        </w:numPr>
      </w:pPr>
      <w:r>
        <w:t>Grażyna Piskorska – Sekretarz</w:t>
      </w:r>
    </w:p>
    <w:p w:rsidR="00C10377" w:rsidRDefault="00C10377" w:rsidP="00D324EC">
      <w:pPr>
        <w:pStyle w:val="Akapitzlist"/>
        <w:numPr>
          <w:ilvl w:val="0"/>
          <w:numId w:val="1"/>
        </w:numPr>
      </w:pPr>
      <w:r>
        <w:t>Małgorzata Grzechnik – Skarbnik</w:t>
      </w:r>
    </w:p>
    <w:p w:rsidR="00C10377" w:rsidRDefault="00C10377" w:rsidP="00D324EC">
      <w:pPr>
        <w:pStyle w:val="Akapitzlist"/>
        <w:numPr>
          <w:ilvl w:val="0"/>
          <w:numId w:val="1"/>
        </w:numPr>
      </w:pPr>
      <w:r>
        <w:t>Monika Bąkała – Członek Zarządu</w:t>
      </w:r>
    </w:p>
    <w:p w:rsidR="00C10377" w:rsidRDefault="00C10377" w:rsidP="00D324EC">
      <w:pPr>
        <w:pStyle w:val="Akapitzlist"/>
        <w:numPr>
          <w:ilvl w:val="0"/>
          <w:numId w:val="1"/>
        </w:numPr>
      </w:pPr>
      <w:r>
        <w:t>Edward Głodek –</w:t>
      </w:r>
      <w:r w:rsidRPr="00C10377">
        <w:t xml:space="preserve"> </w:t>
      </w:r>
      <w:r>
        <w:t>Członek Zarządu</w:t>
      </w:r>
    </w:p>
    <w:p w:rsidR="00C10377" w:rsidRDefault="00C10377" w:rsidP="00D324EC">
      <w:pPr>
        <w:pStyle w:val="Akapitzlist"/>
        <w:numPr>
          <w:ilvl w:val="0"/>
          <w:numId w:val="1"/>
        </w:numPr>
      </w:pPr>
      <w:r>
        <w:t>Dariusz Jabłoński –</w:t>
      </w:r>
      <w:r w:rsidRPr="00C10377">
        <w:t xml:space="preserve"> </w:t>
      </w:r>
      <w:r>
        <w:t>Członek Zarządu</w:t>
      </w:r>
    </w:p>
    <w:p w:rsidR="00C10377" w:rsidRDefault="00C10377" w:rsidP="00D324EC">
      <w:pPr>
        <w:pStyle w:val="Akapitzlist"/>
        <w:numPr>
          <w:ilvl w:val="0"/>
          <w:numId w:val="1"/>
        </w:numPr>
      </w:pPr>
      <w:r>
        <w:t>Marek Jóźwik –</w:t>
      </w:r>
      <w:r w:rsidRPr="00C10377">
        <w:t xml:space="preserve"> </w:t>
      </w:r>
      <w:r>
        <w:t>Członek Zarządu</w:t>
      </w:r>
    </w:p>
    <w:p w:rsidR="00C10377" w:rsidRDefault="00C10377" w:rsidP="00D324EC">
      <w:pPr>
        <w:pStyle w:val="Akapitzlist"/>
        <w:numPr>
          <w:ilvl w:val="0"/>
          <w:numId w:val="1"/>
        </w:numPr>
      </w:pPr>
      <w:r>
        <w:t>Stanisław Szczepański – Członek Zarządu</w:t>
      </w:r>
    </w:p>
    <w:p w:rsidR="00C10377" w:rsidRDefault="00C10377" w:rsidP="00C10377">
      <w:pPr>
        <w:pStyle w:val="Akapitzlist"/>
      </w:pPr>
    </w:p>
    <w:p w:rsidR="00C10377" w:rsidRDefault="00C10377" w:rsidP="00C10377">
      <w:pPr>
        <w:pStyle w:val="Akapitzlist"/>
        <w:ind w:left="0" w:firstLine="11"/>
      </w:pPr>
      <w:r>
        <w:t>Liczba członków Stowarzyszenia wynosi 112 osób. W skład członków LGD wchodzą przedstawiciele sektora publicznego, społecznego, gospodarczego oraz mieszkańcy gmin powiatu ryckiego.</w:t>
      </w:r>
    </w:p>
    <w:p w:rsidR="00C10377" w:rsidRDefault="00C10377" w:rsidP="00C10377">
      <w:pPr>
        <w:pStyle w:val="Akapitzlist"/>
        <w:ind w:left="0" w:firstLine="11"/>
      </w:pPr>
    </w:p>
    <w:p w:rsidR="00C10377" w:rsidRDefault="00C10377" w:rsidP="00C10377">
      <w:pPr>
        <w:pStyle w:val="Akapitzlist"/>
        <w:ind w:left="0" w:firstLine="11"/>
      </w:pPr>
    </w:p>
    <w:p w:rsidR="00C10377" w:rsidRPr="00C10377" w:rsidRDefault="00C10377" w:rsidP="00C10377">
      <w:pPr>
        <w:pStyle w:val="Akapitzlist"/>
        <w:ind w:left="0" w:firstLine="11"/>
        <w:rPr>
          <w:b/>
        </w:rPr>
      </w:pPr>
      <w:r w:rsidRPr="00C10377">
        <w:rPr>
          <w:b/>
        </w:rPr>
        <w:t>Okres objęty sprawozdaniem</w:t>
      </w:r>
    </w:p>
    <w:p w:rsidR="00C10377" w:rsidRDefault="00C10377" w:rsidP="00C10377">
      <w:pPr>
        <w:pStyle w:val="Akapitzlist"/>
        <w:ind w:left="0" w:firstLine="11"/>
      </w:pPr>
      <w:r>
        <w:t xml:space="preserve">Sprawozdanie merytoryczne zostało sporządzone za okres od </w:t>
      </w:r>
      <w:r w:rsidR="00875166">
        <w:t>3</w:t>
      </w:r>
      <w:r>
        <w:t xml:space="preserve"> listopada 2015 r. do 31 grudnia 2015 r.</w:t>
      </w:r>
    </w:p>
    <w:p w:rsidR="00C10377" w:rsidRDefault="00C10377" w:rsidP="00C10377">
      <w:pPr>
        <w:pStyle w:val="Akapitzlist"/>
        <w:ind w:left="0" w:firstLine="11"/>
      </w:pPr>
    </w:p>
    <w:p w:rsidR="00C10377" w:rsidRDefault="00C10377" w:rsidP="00C10377">
      <w:pPr>
        <w:pStyle w:val="Akapitzlist"/>
        <w:ind w:left="0" w:firstLine="11"/>
        <w:rPr>
          <w:b/>
        </w:rPr>
      </w:pPr>
      <w:r w:rsidRPr="00C10377">
        <w:rPr>
          <w:b/>
        </w:rPr>
        <w:t>Działalność merytoryczna Zarządu</w:t>
      </w:r>
    </w:p>
    <w:p w:rsidR="00C10377" w:rsidRDefault="00C10377" w:rsidP="00C10377">
      <w:pPr>
        <w:pStyle w:val="Akapitzlist"/>
        <w:ind w:left="0" w:firstLine="11"/>
        <w:rPr>
          <w:b/>
        </w:rPr>
      </w:pPr>
    </w:p>
    <w:p w:rsidR="00C10377" w:rsidRDefault="00C10377" w:rsidP="00C10377">
      <w:pPr>
        <w:pStyle w:val="Akapitzlist"/>
        <w:ind w:left="0" w:firstLine="11"/>
        <w:rPr>
          <w:b/>
        </w:rPr>
      </w:pPr>
      <w:r>
        <w:rPr>
          <w:b/>
        </w:rPr>
        <w:t>W wyżej wymienionym okresie Stowarzyszenie realizowało następujące przedsięwzięcia:</w:t>
      </w:r>
    </w:p>
    <w:p w:rsidR="00C10377" w:rsidRPr="00F254A3" w:rsidRDefault="00C10377" w:rsidP="00C10377">
      <w:pPr>
        <w:pStyle w:val="Akapitzlist"/>
        <w:ind w:left="0" w:firstLine="11"/>
        <w:rPr>
          <w:b/>
        </w:rPr>
      </w:pPr>
    </w:p>
    <w:p w:rsidR="00F254A3" w:rsidRDefault="00F254A3" w:rsidP="00C10377">
      <w:pPr>
        <w:pStyle w:val="Akapitzlist"/>
        <w:ind w:left="0" w:firstLine="11"/>
        <w:rPr>
          <w:b/>
        </w:rPr>
      </w:pPr>
      <w:r w:rsidRPr="00F254A3">
        <w:rPr>
          <w:b/>
        </w:rPr>
        <w:t>W</w:t>
      </w:r>
      <w:r>
        <w:rPr>
          <w:b/>
        </w:rPr>
        <w:t xml:space="preserve"> </w:t>
      </w:r>
      <w:r w:rsidRPr="00F254A3">
        <w:rPr>
          <w:b/>
        </w:rPr>
        <w:t>ramach wydarzeń promocyjnych, informacyjnych zrealizowano zadania:</w:t>
      </w:r>
    </w:p>
    <w:p w:rsidR="005048DB" w:rsidRPr="005048DB" w:rsidRDefault="005048DB" w:rsidP="005048DB">
      <w:pPr>
        <w:pStyle w:val="Akapitzlist"/>
        <w:ind w:left="0" w:firstLine="11"/>
        <w:rPr>
          <w:rFonts w:cs="Times New Roman"/>
          <w:color w:val="323232"/>
          <w:sz w:val="22"/>
          <w:shd w:val="clear" w:color="auto" w:fill="FFFFFF"/>
        </w:rPr>
      </w:pPr>
      <w:r w:rsidRPr="005048DB">
        <w:rPr>
          <w:rFonts w:cs="Times New Roman"/>
          <w:color w:val="323232"/>
          <w:sz w:val="22"/>
          <w:shd w:val="clear" w:color="auto" w:fill="FFFFFF"/>
        </w:rPr>
        <w:t>W dniu 5 listopada 2015 r. podczas Walnego Zebrania Członków w Sali konferencyjnej Starostwa Powiatowego w Rykach, Stowarzyszenie Lokalna Grupa Działania „Lepsza Przyszłość Ziemi Ryckiej” przeprowadziła konsultacje społeczne.</w:t>
      </w:r>
      <w:r w:rsidRPr="005048DB">
        <w:rPr>
          <w:rStyle w:val="apple-converted-space"/>
          <w:rFonts w:cs="Times New Roman"/>
          <w:color w:val="323232"/>
          <w:sz w:val="22"/>
          <w:shd w:val="clear" w:color="auto" w:fill="FFFFFF"/>
        </w:rPr>
        <w:t> </w:t>
      </w:r>
      <w:r w:rsidRPr="005048DB">
        <w:rPr>
          <w:rFonts w:cs="Times New Roman"/>
          <w:color w:val="323232"/>
          <w:sz w:val="22"/>
        </w:rPr>
        <w:t>Dyskusji podlegały takie tematy jak: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1)    Budżet LSR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2)    Cele, wskaźniki jakie LGD zamierza realizować w przyszłości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lastRenderedPageBreak/>
        <w:t>3)    Harmonogram działań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4)    Monitoring i ewaluacja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5)    Narzędzia wymiany informacji</w:t>
      </w:r>
    </w:p>
    <w:p w:rsidR="005048DB" w:rsidRDefault="00F254A3" w:rsidP="005048DB">
      <w:pPr>
        <w:pStyle w:val="Akapitzlist"/>
        <w:ind w:left="0" w:firstLine="11"/>
        <w:rPr>
          <w:rFonts w:cs="Times New Roman"/>
          <w:color w:val="323232"/>
          <w:sz w:val="22"/>
          <w:shd w:val="clear" w:color="auto" w:fill="FFFFFF"/>
        </w:rPr>
      </w:pPr>
      <w:r>
        <w:t>W dniu 9.11.2015 r. odbył się spacer badawczy – konsultacje społeczne na odcinku Drążgów – Dęblin</w:t>
      </w:r>
      <w:r w:rsidR="005048DB">
        <w:t>.</w:t>
      </w:r>
      <w:r>
        <w:t xml:space="preserve"> </w:t>
      </w:r>
      <w:r w:rsidR="003E369F">
        <w:t xml:space="preserve">Obecnych było 16 osób. </w:t>
      </w:r>
      <w:r w:rsidR="005048DB" w:rsidRPr="005048DB">
        <w:rPr>
          <w:rFonts w:cs="Times New Roman"/>
          <w:color w:val="323232"/>
          <w:sz w:val="22"/>
          <w:shd w:val="clear" w:color="auto" w:fill="FFFFFF"/>
        </w:rPr>
        <w:t>Celem konsultacji społecznych było przebadanie i dyskusja na temat możliwości dalszego rozwoju turystyki w Pradolinie Wieprza.   Odwiedziliśmy miejscowości Drążgów, Białki Dolne, Kleszczówka, Sędowice, Bobrowniki, Dęblin. W konsultacjach społecznych udział wzięli przedstawiciele  samorządów terytorialnych Ryk i Dęblina, podmioty oferujące usługi turystyczne, przedstawiciele Wspólnoty Gruntowej Bobrowniki, Podwierzbie a także przedstawiciele LGD „Zielony Pierścień” i LGD „Doliną Wieprza i Leśnym Szlakiem”.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rStyle w:val="Pogrubienie"/>
          <w:color w:val="323232"/>
          <w:sz w:val="22"/>
          <w:szCs w:val="22"/>
        </w:rPr>
        <w:t>Podczas konsultacji społecznych dyskutowano w kierunku: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1)      Lokalizacji Infrastruktury turystycznej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2)      Rodzaju infrastruktury turystycznej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3)      Od podmiotów prowadzących działalność w kierunku obsługi ruchu turystycznego zebrane zostały  informacje dotyczące zakresu świadczonych usług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4)      Promocji obszaru poprzez wydawnictwa,  publikacje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5)      Dyskusja nad przedstawionym przez mieszkańców Bobrownik projektem zagospodarowania terenów Wspólnoty Gruntowej Bobrowniki, Podwierzbie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6)      Czy istnieją możliwości poprawy i doposażenia istniejących miejsc wypoczynku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7)      Możliwości zagospodarowania terenów przy ujściu rzeki Wieprz do rzeki Wisła w Dęblinie oraz w obrębie Masów miasta Dęblin.</w:t>
      </w:r>
    </w:p>
    <w:p w:rsidR="005048DB" w:rsidRPr="005048DB" w:rsidRDefault="005048DB" w:rsidP="005048DB">
      <w:pPr>
        <w:pStyle w:val="Akapitzlist"/>
        <w:ind w:left="0" w:firstLine="11"/>
        <w:rPr>
          <w:rFonts w:cs="Times New Roman"/>
          <w:b/>
        </w:rPr>
      </w:pPr>
    </w:p>
    <w:p w:rsidR="00F254A3" w:rsidRDefault="00F254A3" w:rsidP="00C10377">
      <w:pPr>
        <w:pStyle w:val="Akapitzlist"/>
        <w:ind w:left="0" w:firstLine="11"/>
      </w:pP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 xml:space="preserve">W dniu  12 listopada 2015 r. </w:t>
      </w:r>
      <w:r w:rsidR="000239CD">
        <w:rPr>
          <w:color w:val="323232"/>
          <w:sz w:val="22"/>
          <w:szCs w:val="22"/>
        </w:rPr>
        <w:t>odbyło się spotkanie Word Cafe. Dyskusja</w:t>
      </w:r>
      <w:r w:rsidRPr="005048DB">
        <w:rPr>
          <w:color w:val="323232"/>
          <w:sz w:val="22"/>
          <w:szCs w:val="22"/>
        </w:rPr>
        <w:t xml:space="preserve"> dotyczącą takich elementów strategii jak: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1)    Budżet LSR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2)    Cele, wskaźniki jakie LGD zamierza realizować w przyszłości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3)    Harmonogram działań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4)    Monitoring i ewaluacja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5)    Narzędzia wymiany informacji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6) omówiono wyniki konsultacji społecznych spaceru badawczego Pradoliną Wieprza i możliwości dalszego zagospodarowania terenów na cele rekreacyjne.</w:t>
      </w:r>
    </w:p>
    <w:p w:rsidR="005048DB" w:rsidRDefault="005048DB" w:rsidP="00C10377">
      <w:pPr>
        <w:pStyle w:val="Akapitzlist"/>
        <w:ind w:left="0" w:firstLine="11"/>
      </w:pP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W dniu 16.11.2015 r. odbyło się spotkanie grupy roboczej składającej się z Członków Zarządu oraz pracowników Biura LGD. W spotkaniu udział  wzięli przedstawiciele Komisji Rewizyjnej.</w:t>
      </w:r>
      <w:r w:rsidR="003E369F">
        <w:rPr>
          <w:color w:val="323232"/>
          <w:sz w:val="22"/>
          <w:szCs w:val="22"/>
        </w:rPr>
        <w:t xml:space="preserve"> Obecnych było 8 osób.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Podczas spotkania grupy roboczej przeprowadzono dyskusję nad określeniem celów LSR.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W wyniku dyskusji ustalono realizację 2 celów ogólnych. Jeden związany z rozwojem przedsiębiorczości na obszarze działania LGD. Drugi cel związany z aktywizacją społeczności lokalnej, rozwojem turystyki, rekreacji oraz infrastruktury niekomercyjnej i promocji obszaru.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 xml:space="preserve">Najwięcej uwagi poświęcono dyskusji  związanej z doborem kryteriów wyboru projektów oraz punktacją.  Będą promowane operacje innowacyjne, generujące nowe miejsca pracy, ukierunkowane na zaspokojenie grup </w:t>
      </w:r>
      <w:r w:rsidR="00D261C2">
        <w:rPr>
          <w:color w:val="323232"/>
          <w:sz w:val="22"/>
          <w:szCs w:val="22"/>
        </w:rPr>
        <w:t>de</w:t>
      </w:r>
      <w:r w:rsidRPr="005048DB">
        <w:rPr>
          <w:color w:val="323232"/>
          <w:sz w:val="22"/>
          <w:szCs w:val="22"/>
        </w:rPr>
        <w:t>faworyzowanych, wysokość wkładu własnego Beneficjenta. Operacje, które wykorzystują zasoby lokalne lub dziedzictwo historyczne, przyrodnicze, kulturowe.</w:t>
      </w:r>
    </w:p>
    <w:p w:rsidR="005048DB" w:rsidRPr="005048DB" w:rsidRDefault="005048DB" w:rsidP="005048DB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5048DB">
        <w:rPr>
          <w:color w:val="323232"/>
          <w:sz w:val="22"/>
          <w:szCs w:val="22"/>
        </w:rPr>
        <w:t>Najskuteczniejszymi narzędziami wymiany informacji to strona internetowa LGD, strony internetowe jednostek samorządu terytorialnego oraz prasa lokalna.</w:t>
      </w:r>
    </w:p>
    <w:p w:rsidR="005048DB" w:rsidRDefault="005048DB" w:rsidP="00C10377">
      <w:pPr>
        <w:pStyle w:val="Akapitzlist"/>
        <w:ind w:left="0" w:firstLine="11"/>
      </w:pPr>
    </w:p>
    <w:p w:rsidR="00025046" w:rsidRPr="00025046" w:rsidRDefault="00025046" w:rsidP="00025046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025046">
        <w:rPr>
          <w:color w:val="323232"/>
          <w:sz w:val="22"/>
          <w:szCs w:val="22"/>
        </w:rPr>
        <w:t>W dniu 23.11.2015 r. odbyło się spotkanie grupy dyskusyjnej składającej się z Członków Rady LGD, Członków Zarządu oraz pracow</w:t>
      </w:r>
      <w:r w:rsidR="00CF41B7">
        <w:rPr>
          <w:color w:val="323232"/>
          <w:sz w:val="22"/>
          <w:szCs w:val="22"/>
        </w:rPr>
        <w:t>ników Biura LGD.</w:t>
      </w:r>
      <w:r w:rsidRPr="00025046">
        <w:rPr>
          <w:color w:val="323232"/>
          <w:sz w:val="22"/>
          <w:szCs w:val="22"/>
        </w:rPr>
        <w:t>  W spotkaniu udział  wzięli również przedstawiciele Komisji Rewizyjnej.</w:t>
      </w:r>
      <w:r w:rsidR="003E369F">
        <w:rPr>
          <w:color w:val="323232"/>
          <w:sz w:val="22"/>
          <w:szCs w:val="22"/>
        </w:rPr>
        <w:t xml:space="preserve"> Obecnych było 17 osób.</w:t>
      </w:r>
    </w:p>
    <w:p w:rsidR="00025046" w:rsidRPr="00025046" w:rsidRDefault="00025046" w:rsidP="00025046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025046">
        <w:rPr>
          <w:color w:val="323232"/>
          <w:sz w:val="22"/>
          <w:szCs w:val="22"/>
        </w:rPr>
        <w:t>Podczas spotkania grupa robocza przedstawiła wyniki dyskusji ze spotkań konsultacyjnych. Przedstawiono, a następnie dyskutowano nad określeniem celów LSR.</w:t>
      </w:r>
    </w:p>
    <w:p w:rsidR="00025046" w:rsidRPr="00025046" w:rsidRDefault="00025046" w:rsidP="00025046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025046">
        <w:rPr>
          <w:color w:val="323232"/>
          <w:sz w:val="22"/>
          <w:szCs w:val="22"/>
        </w:rPr>
        <w:t xml:space="preserve">W wyniku dyskusji ustalono realizację dwóch celów ogólnych. Jeden związany z rozwojem przedsiębiorczości na obszarze działania LGD. Drugi cel związany z aktywizacją społeczności lokalnej, rozwojem turystyki, rekreacji oraz infrastruktury niekomercyjnej i promocji obszaru. </w:t>
      </w:r>
    </w:p>
    <w:p w:rsidR="00025046" w:rsidRPr="00025046" w:rsidRDefault="00025046" w:rsidP="00025046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025046">
        <w:rPr>
          <w:color w:val="323232"/>
          <w:sz w:val="22"/>
          <w:szCs w:val="22"/>
        </w:rPr>
        <w:t>W dalszej części spotkania omówiono dokumentację dotyczącą projektów grantowych i wysokość środków finansowych przeznaczonych na ich realizację. Najwięcej uwagi poświęcono dyskusji związanej z doborem kryteriów wyboru projektów oraz punktacją.</w:t>
      </w:r>
    </w:p>
    <w:p w:rsidR="00025046" w:rsidRPr="00025046" w:rsidRDefault="00025046" w:rsidP="00025046">
      <w:pPr>
        <w:pStyle w:val="NormalnyWeb"/>
        <w:shd w:val="clear" w:color="auto" w:fill="FFFFFF"/>
        <w:jc w:val="both"/>
        <w:rPr>
          <w:color w:val="323232"/>
          <w:sz w:val="22"/>
          <w:szCs w:val="22"/>
        </w:rPr>
      </w:pPr>
      <w:r w:rsidRPr="00025046">
        <w:rPr>
          <w:color w:val="323232"/>
          <w:sz w:val="22"/>
          <w:szCs w:val="22"/>
        </w:rPr>
        <w:t>Najskuteczniejszymi narzędziami wymiany informacji są: strona internetowa LGD, strony internetowe jednostek samorządu terytorialnego oraz prasa lokalna.</w:t>
      </w:r>
      <w:r w:rsidR="003E369F">
        <w:rPr>
          <w:color w:val="323232"/>
          <w:sz w:val="22"/>
          <w:szCs w:val="22"/>
        </w:rPr>
        <w:t xml:space="preserve"> Obecnych było 11 osób.</w:t>
      </w:r>
    </w:p>
    <w:p w:rsidR="00025046" w:rsidRDefault="00025046" w:rsidP="00C10377">
      <w:pPr>
        <w:pStyle w:val="Akapitzlist"/>
        <w:ind w:left="0" w:firstLine="11"/>
      </w:pPr>
    </w:p>
    <w:p w:rsidR="00025046" w:rsidRDefault="003231A2" w:rsidP="00025046">
      <w:pPr>
        <w:pStyle w:val="Bezodstpw"/>
        <w:shd w:val="clear" w:color="auto" w:fill="FFFFFF"/>
        <w:spacing w:line="324" w:lineRule="atLeast"/>
        <w:ind w:firstLine="708"/>
        <w:rPr>
          <w:rFonts w:ascii="Arial" w:hAnsi="Arial" w:cs="Arial"/>
          <w:color w:val="323232"/>
          <w:sz w:val="22"/>
          <w:szCs w:val="22"/>
        </w:rPr>
      </w:pPr>
      <w:r>
        <w:t xml:space="preserve"> </w:t>
      </w:r>
      <w:r w:rsidR="00025046">
        <w:rPr>
          <w:color w:val="323232"/>
        </w:rPr>
        <w:t>W dniu 14.12.2015 r. odbyło się spotkanie grupy ekspertów, w skład której wchodzą Członkowie Rady, Komisji Rewizyjnej Stowarzyszenia. W spotkaniu mogli wziąć udział również mieszkańcy obszaru objętego opracowaniem dokumentu strategicznego, jakim jest Lokalna Strategia Rozwoju.</w:t>
      </w:r>
      <w:r w:rsidR="003E369F">
        <w:rPr>
          <w:color w:val="323232"/>
        </w:rPr>
        <w:t xml:space="preserve"> Obecnych było 19 osób.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rPr>
          <w:rFonts w:ascii="Arial" w:hAnsi="Arial" w:cs="Arial"/>
          <w:color w:val="323232"/>
          <w:sz w:val="22"/>
          <w:szCs w:val="22"/>
        </w:rPr>
      </w:pPr>
      <w:r>
        <w:rPr>
          <w:rStyle w:val="Pogrubienie"/>
          <w:color w:val="323232"/>
        </w:rPr>
        <w:t>Przedmiotem konsultacji społecznych były: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left="720" w:hanging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1)</w:t>
      </w:r>
      <w:r>
        <w:rPr>
          <w:rStyle w:val="apple-converted-space"/>
          <w:color w:val="323232"/>
          <w:sz w:val="14"/>
          <w:szCs w:val="14"/>
        </w:rPr>
        <w:t> </w:t>
      </w:r>
      <w:r>
        <w:rPr>
          <w:color w:val="323232"/>
        </w:rPr>
        <w:t>Cele jakie będą realizowane oraz wskaźniki, jakie zamierza Lokalna Grupa Działania osiągnąć do roku 2023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left="720" w:hanging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lastRenderedPageBreak/>
        <w:t>2)</w:t>
      </w:r>
      <w:r>
        <w:rPr>
          <w:rStyle w:val="apple-converted-space"/>
          <w:color w:val="323232"/>
          <w:sz w:val="14"/>
          <w:szCs w:val="14"/>
        </w:rPr>
        <w:t> </w:t>
      </w:r>
      <w:r>
        <w:rPr>
          <w:color w:val="323232"/>
        </w:rPr>
        <w:t>Kryteria wyboru operacji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left="720" w:hanging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3)</w:t>
      </w:r>
      <w:r>
        <w:rPr>
          <w:rStyle w:val="apple-converted-space"/>
          <w:color w:val="323232"/>
          <w:sz w:val="14"/>
          <w:szCs w:val="14"/>
        </w:rPr>
        <w:t> </w:t>
      </w:r>
      <w:r>
        <w:rPr>
          <w:color w:val="323232"/>
        </w:rPr>
        <w:t>Plan działania do roku 2023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left="720" w:hanging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4)</w:t>
      </w:r>
      <w:r>
        <w:rPr>
          <w:rStyle w:val="apple-converted-space"/>
          <w:color w:val="323232"/>
          <w:sz w:val="14"/>
          <w:szCs w:val="14"/>
        </w:rPr>
        <w:t> </w:t>
      </w:r>
      <w:r>
        <w:rPr>
          <w:color w:val="323232"/>
        </w:rPr>
        <w:t>Budżet z podziałem na poszczególne cele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left="720" w:hanging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5)</w:t>
      </w:r>
      <w:r>
        <w:rPr>
          <w:rStyle w:val="apple-converted-space"/>
          <w:color w:val="323232"/>
          <w:sz w:val="14"/>
          <w:szCs w:val="14"/>
        </w:rPr>
        <w:t> </w:t>
      </w:r>
      <w:r>
        <w:rPr>
          <w:color w:val="323232"/>
        </w:rPr>
        <w:t>Narzędzia wymiany informacji pomiędzy organami LGD a Beneficjentami i mieszkańcami.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left="720" w:hanging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6)</w:t>
      </w:r>
      <w:r>
        <w:rPr>
          <w:rStyle w:val="apple-converted-space"/>
          <w:color w:val="323232"/>
          <w:sz w:val="14"/>
          <w:szCs w:val="14"/>
        </w:rPr>
        <w:t> </w:t>
      </w:r>
      <w:r>
        <w:rPr>
          <w:color w:val="323232"/>
        </w:rPr>
        <w:t>Określenie rodzajów projektów granowych oraz podział budżetu na projekty grantowe, tematy projektów grantowych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left="720" w:hanging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7)</w:t>
      </w:r>
      <w:r>
        <w:rPr>
          <w:rStyle w:val="apple-converted-space"/>
          <w:color w:val="323232"/>
          <w:sz w:val="14"/>
          <w:szCs w:val="14"/>
        </w:rPr>
        <w:t> </w:t>
      </w:r>
      <w:r>
        <w:rPr>
          <w:color w:val="323232"/>
        </w:rPr>
        <w:t>Wybór do realizacji za pośrednictwem LGD infrastruktury kulturalnej, rekreacyjnej i turystycznej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left="720" w:hanging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8)</w:t>
      </w:r>
      <w:r>
        <w:rPr>
          <w:rStyle w:val="apple-converted-space"/>
          <w:color w:val="323232"/>
          <w:sz w:val="14"/>
          <w:szCs w:val="14"/>
        </w:rPr>
        <w:t> </w:t>
      </w:r>
      <w:r>
        <w:rPr>
          <w:color w:val="323232"/>
        </w:rPr>
        <w:t>Ewaluacja i monitoring realizacji LSR.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firstLine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Cele zostały określone w oparciu o otwarte konsultacje społeczne z mieszkańcami gmin członkowskich.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ind w:firstLine="360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Podczas konsultacji ustalono kryteria wyboru operacji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a także przypisano im punktację. Premiowane będą m.in. operacje, które generują miejsca pracy, wprowadzają na obszar objęty LSR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innowację a także operacje uwzględniające ochronę środowiska.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Grupa Ekspertów ustaliła, iż do skutecznych narzędzi wymiany informacji będą strony internetowe samorządów, LGD, informacje w prasie, informacje przekazane drogą email.</w:t>
      </w:r>
    </w:p>
    <w:p w:rsidR="00025046" w:rsidRDefault="00025046" w:rsidP="00025046">
      <w:pPr>
        <w:pStyle w:val="Bezodstpw"/>
        <w:shd w:val="clear" w:color="auto" w:fill="FFFFFF"/>
        <w:spacing w:line="324" w:lineRule="atLeast"/>
        <w:rPr>
          <w:rFonts w:ascii="Arial" w:hAnsi="Arial" w:cs="Arial"/>
          <w:color w:val="323232"/>
          <w:sz w:val="22"/>
          <w:szCs w:val="22"/>
        </w:rPr>
      </w:pPr>
      <w:r>
        <w:rPr>
          <w:color w:val="323232"/>
        </w:rPr>
        <w:t>Określone zostały również cele ogólne (2 cele), jeden związany z rozwojem przedsiębiorczości na obszarze LGD, drugi zaś z rozwojem infrastruktury kulturalnej, rekreacyjnej i turystycznej.</w:t>
      </w:r>
    </w:p>
    <w:p w:rsidR="00ED1A96" w:rsidRDefault="00D01C53" w:rsidP="00C10377">
      <w:pPr>
        <w:pStyle w:val="Akapitzlist"/>
        <w:ind w:left="0" w:firstLine="11"/>
      </w:pPr>
      <w:r>
        <w:t>W dniu 28.12.2015 r. odbyło się Walne Zebranie Członków, podczas których</w:t>
      </w:r>
      <w:r w:rsidR="00ED1A96">
        <w:t>:</w:t>
      </w:r>
    </w:p>
    <w:p w:rsidR="003231A2" w:rsidRDefault="00ED1A96" w:rsidP="00ED1A96">
      <w:pPr>
        <w:pStyle w:val="Akapitzlist"/>
        <w:numPr>
          <w:ilvl w:val="0"/>
          <w:numId w:val="2"/>
        </w:numPr>
      </w:pPr>
      <w:r>
        <w:t>wybrano 3 członków Rady Stowarzyszenia</w:t>
      </w:r>
    </w:p>
    <w:p w:rsidR="00ED1A96" w:rsidRDefault="00ED1A96" w:rsidP="00ED1A96">
      <w:pPr>
        <w:pStyle w:val="Akapitzlist"/>
        <w:numPr>
          <w:ilvl w:val="0"/>
          <w:numId w:val="2"/>
        </w:numPr>
      </w:pPr>
      <w:r>
        <w:t>zatwierdzono Regulamin Pracy Rady</w:t>
      </w:r>
    </w:p>
    <w:p w:rsidR="002F6927" w:rsidRDefault="002F6927" w:rsidP="00ED1A96">
      <w:pPr>
        <w:pStyle w:val="Akapitzlist"/>
        <w:numPr>
          <w:ilvl w:val="0"/>
          <w:numId w:val="2"/>
        </w:numPr>
      </w:pPr>
      <w:r>
        <w:t>zatwierdzono Lokalną Strategię Rozwoju</w:t>
      </w:r>
    </w:p>
    <w:p w:rsidR="002F6927" w:rsidRDefault="002F6927" w:rsidP="00ED1A96">
      <w:pPr>
        <w:pStyle w:val="Akapitzlist"/>
        <w:numPr>
          <w:ilvl w:val="0"/>
          <w:numId w:val="2"/>
        </w:numPr>
      </w:pPr>
      <w:r>
        <w:t>zatwierdzono procedurę Ewaluacji i Monitoringu Stowarzyszenia LGD ‘Lepsza Przyszłość Ziemi Ryckiej”</w:t>
      </w:r>
    </w:p>
    <w:p w:rsidR="002F6927" w:rsidRDefault="002F6927" w:rsidP="00ED1A96">
      <w:pPr>
        <w:pStyle w:val="Akapitzlist"/>
        <w:numPr>
          <w:ilvl w:val="0"/>
          <w:numId w:val="2"/>
        </w:numPr>
      </w:pPr>
      <w:r>
        <w:t>zatwierdzono lokalne kryteria wyboru operacji i procedury ustalania i zmiany lokalnych kryteriów wyboru Stowarzyszenia LGD „Lepsza Przyszłość Ziemi Ryckiej”</w:t>
      </w:r>
    </w:p>
    <w:p w:rsidR="002F6927" w:rsidRDefault="002F6927" w:rsidP="00ED1A96">
      <w:pPr>
        <w:pStyle w:val="Akapitzlist"/>
        <w:numPr>
          <w:ilvl w:val="0"/>
          <w:numId w:val="2"/>
        </w:numPr>
      </w:pPr>
      <w:r>
        <w:t>zatwierdzono Procedurę obsługi wniosku i wyboru operacji przeznaczonych do finansowania Stowarzyszenia LGD „Lepsza Przyszłość Ziemi Ryckiej”</w:t>
      </w:r>
    </w:p>
    <w:p w:rsidR="007A18F3" w:rsidRDefault="007A18F3" w:rsidP="00ED1A96">
      <w:pPr>
        <w:pStyle w:val="Akapitzlist"/>
        <w:numPr>
          <w:ilvl w:val="0"/>
          <w:numId w:val="2"/>
        </w:numPr>
      </w:pPr>
      <w:r>
        <w:lastRenderedPageBreak/>
        <w:t>zatwierdzono Podręcznik procedur i zasad regulujących przyznanie pomocy finansowej w ramach poddziałania „Wsparcie dla wdrażania operacji w ramach strategii rozwoju lokalnego kierowanego przez społeczność „PROW 2014-2020”</w:t>
      </w:r>
    </w:p>
    <w:p w:rsidR="007A18F3" w:rsidRDefault="007A18F3" w:rsidP="00ED1A96">
      <w:pPr>
        <w:pStyle w:val="Akapitzlist"/>
        <w:numPr>
          <w:ilvl w:val="0"/>
          <w:numId w:val="2"/>
        </w:numPr>
      </w:pPr>
      <w:r>
        <w:t>zatwierdzono Procedurę przyznawania pomocy w ramach projektu grantowego realizowanego przez LGD w ramach strategii rozwoju lokalnego kierowanego przez społeczność „PROW 2014-2020”</w:t>
      </w:r>
    </w:p>
    <w:p w:rsidR="00B40BC9" w:rsidRDefault="00B40BC9" w:rsidP="00B40BC9">
      <w:pPr>
        <w:pStyle w:val="Akapitzlist"/>
        <w:ind w:left="780"/>
      </w:pPr>
    </w:p>
    <w:p w:rsidR="00B40BC9" w:rsidRDefault="00B40BC9" w:rsidP="00B40BC9">
      <w:pPr>
        <w:pStyle w:val="Akapitzlist"/>
        <w:ind w:left="780"/>
      </w:pPr>
    </w:p>
    <w:p w:rsidR="00B40BC9" w:rsidRPr="00F254A3" w:rsidRDefault="00B40BC9" w:rsidP="00B40BC9">
      <w:pPr>
        <w:pStyle w:val="Akapitzlist"/>
        <w:ind w:left="780"/>
      </w:pPr>
      <w:r>
        <w:t>Wniosek o wybór Strategii Rozwoju Lokalnego Kierowanego przez Społeczność na lata 2014-2020 został złożony do Urzędu Marszałkowskiego Województwa Lubelskiego w dniu 31.12.2015 r.</w:t>
      </w:r>
    </w:p>
    <w:sectPr w:rsidR="00B40BC9" w:rsidRPr="00F254A3" w:rsidSect="0018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1C"/>
    <w:multiLevelType w:val="hybridMultilevel"/>
    <w:tmpl w:val="11203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679E"/>
    <w:multiLevelType w:val="hybridMultilevel"/>
    <w:tmpl w:val="C91825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4EC"/>
    <w:rsid w:val="000239CD"/>
    <w:rsid w:val="00025046"/>
    <w:rsid w:val="00025218"/>
    <w:rsid w:val="0006167B"/>
    <w:rsid w:val="00135F9F"/>
    <w:rsid w:val="00182FCF"/>
    <w:rsid w:val="00184200"/>
    <w:rsid w:val="00194E59"/>
    <w:rsid w:val="00231026"/>
    <w:rsid w:val="002A0704"/>
    <w:rsid w:val="002F6927"/>
    <w:rsid w:val="003231A2"/>
    <w:rsid w:val="003E369F"/>
    <w:rsid w:val="004F5CD3"/>
    <w:rsid w:val="005048DB"/>
    <w:rsid w:val="007078B4"/>
    <w:rsid w:val="007933BD"/>
    <w:rsid w:val="007A18F3"/>
    <w:rsid w:val="00875166"/>
    <w:rsid w:val="009930F0"/>
    <w:rsid w:val="00B40BC9"/>
    <w:rsid w:val="00C10377"/>
    <w:rsid w:val="00C92847"/>
    <w:rsid w:val="00CF41B7"/>
    <w:rsid w:val="00D01C53"/>
    <w:rsid w:val="00D261C2"/>
    <w:rsid w:val="00D324EC"/>
    <w:rsid w:val="00D57A40"/>
    <w:rsid w:val="00D94920"/>
    <w:rsid w:val="00ED1A96"/>
    <w:rsid w:val="00F254A3"/>
    <w:rsid w:val="00F7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E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048DB"/>
  </w:style>
  <w:style w:type="paragraph" w:styleId="NormalnyWeb">
    <w:name w:val="Normal (Web)"/>
    <w:basedOn w:val="Normalny"/>
    <w:uiPriority w:val="99"/>
    <w:semiHidden/>
    <w:unhideWhenUsed/>
    <w:rsid w:val="005048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48DB"/>
    <w:rPr>
      <w:b/>
      <w:bCs/>
    </w:rPr>
  </w:style>
  <w:style w:type="paragraph" w:styleId="Bezodstpw">
    <w:name w:val="No Spacing"/>
    <w:basedOn w:val="Normalny"/>
    <w:uiPriority w:val="1"/>
    <w:qFormat/>
    <w:rsid w:val="000250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LGD 1</cp:lastModifiedBy>
  <cp:revision>13</cp:revision>
  <cp:lastPrinted>2016-06-13T07:29:00Z</cp:lastPrinted>
  <dcterms:created xsi:type="dcterms:W3CDTF">2016-06-06T08:15:00Z</dcterms:created>
  <dcterms:modified xsi:type="dcterms:W3CDTF">2016-06-13T08:35:00Z</dcterms:modified>
</cp:coreProperties>
</file>