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F8" w:rsidRDefault="00E64BF8" w:rsidP="00E64B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-3175</wp:posOffset>
            </wp:positionV>
            <wp:extent cx="824230" cy="894715"/>
            <wp:effectExtent l="19050" t="19050" r="13970" b="196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52525" cy="9429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847725" cy="923925"/>
            <wp:effectExtent l="19050" t="0" r="9525" b="0"/>
            <wp:docPr id="2" name="Obraz 2" descr="logotyp_kolor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kolor_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476375" cy="962025"/>
            <wp:effectExtent l="19050" t="0" r="9525" b="0"/>
            <wp:docPr id="3" name="Obraz 1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KRYTERIA</w:t>
      </w:r>
    </w:p>
    <w:p w:rsidR="00E64BF8" w:rsidRDefault="00E64BF8" w:rsidP="00E64BF8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WYBORU GRANTOBIORCÓW</w:t>
      </w:r>
    </w:p>
    <w:p w:rsidR="00E64BF8" w:rsidRDefault="00E64BF8" w:rsidP="00E64BF8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PROCEDURĄ USTALANIA LUB ZMIANY KRYTERIÓW</w:t>
      </w:r>
    </w:p>
    <w:p w:rsidR="00E64BF8" w:rsidRDefault="00E64BF8" w:rsidP="00E64BF8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STOWARZYSZENIU </w:t>
      </w:r>
    </w:p>
    <w:p w:rsidR="00E64BF8" w:rsidRDefault="00E64BF8" w:rsidP="00E64BF8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LOKALNA GRUPA DZIAŁANIA</w:t>
      </w:r>
    </w:p>
    <w:p w:rsidR="00E64BF8" w:rsidRDefault="00E64BF8" w:rsidP="00E64BF8">
      <w:pPr>
        <w:spacing w:line="480" w:lineRule="auto"/>
        <w:jc w:val="center"/>
      </w:pPr>
      <w:r>
        <w:rPr>
          <w:b/>
          <w:sz w:val="36"/>
          <w:szCs w:val="36"/>
        </w:rPr>
        <w:t>„LEPSZA PRZYSZŁOŚĆ ZIEMI RYCKIEJ”</w:t>
      </w:r>
    </w:p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/>
    <w:p w:rsidR="00E64BF8" w:rsidRDefault="00E64BF8" w:rsidP="00E64BF8">
      <w:r>
        <w:t>Niniejsza Procedura stanowi załącznik do Uchwały Nr  5</w:t>
      </w:r>
      <w:r w:rsidR="008E04E6">
        <w:t>3</w:t>
      </w:r>
      <w:r>
        <w:t xml:space="preserve">/2015 Walnego Zebrania Członków Stowarzyszenia LGD „Lepsza przyszłość Ziemi Ryckiej” z dnia 28.12.2015 r. </w:t>
      </w:r>
    </w:p>
    <w:p w:rsidR="00E64BF8" w:rsidRDefault="00E64BF8" w:rsidP="00E64BF8"/>
    <w:p w:rsidR="00E64BF8" w:rsidRDefault="00E64BF8" w:rsidP="00E64BF8"/>
    <w:p w:rsidR="00E64BF8" w:rsidRDefault="00E64BF8" w:rsidP="00E64BF8"/>
    <w:p w:rsidR="003B5915" w:rsidRDefault="003B5915" w:rsidP="00E64BF8"/>
    <w:p w:rsidR="00E64BF8" w:rsidRDefault="00E64BF8" w:rsidP="00E64BF8"/>
    <w:p w:rsidR="00E64BF8" w:rsidRDefault="00E64BF8" w:rsidP="00E64BF8"/>
    <w:p w:rsidR="00E64BF8" w:rsidRDefault="00E64BF8" w:rsidP="00E64BF8">
      <w:pPr>
        <w:numPr>
          <w:ilvl w:val="0"/>
          <w:numId w:val="1"/>
        </w:numPr>
        <w:suppressAutoHyphens/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Cele i zakres opracowania procedur </w:t>
      </w:r>
    </w:p>
    <w:p w:rsidR="00E64BF8" w:rsidRDefault="00E64BF8" w:rsidP="00E64BF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niniejszej Procedury jest opracowanie jednolitych, przejrzystych oraz jasnych zasad gwarantujących prawidłowy przebieg procesu konkursowego oraz wyboru operacji, które przyczynią się do realizacji strategii. </w:t>
      </w:r>
    </w:p>
    <w:p w:rsidR="00E64BF8" w:rsidRDefault="00E64BF8" w:rsidP="00E64BF8">
      <w:pPr>
        <w:rPr>
          <w:sz w:val="28"/>
          <w:szCs w:val="28"/>
        </w:rPr>
      </w:pPr>
    </w:p>
    <w:p w:rsidR="00E64BF8" w:rsidRDefault="00E64BF8" w:rsidP="00E64BF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Niniejsza procedura jest jawna i powszechnie dostępna dla Wnioskodawców w formie elektronicznej na stronie internetowej LGD </w:t>
      </w:r>
      <w:hyperlink r:id="rId11" w:history="1">
        <w:r>
          <w:rPr>
            <w:rStyle w:val="Hipercze"/>
            <w:sz w:val="28"/>
            <w:szCs w:val="28"/>
          </w:rPr>
          <w:t>www.</w:t>
        </w:r>
        <w:r>
          <w:rPr>
            <w:rStyle w:val="Hipercze"/>
            <w:b/>
            <w:bCs/>
            <w:sz w:val="28"/>
            <w:szCs w:val="28"/>
          </w:rPr>
          <w:t>lokalnagrupadzialania.pl</w:t>
        </w:r>
      </w:hyperlink>
      <w:r>
        <w:rPr>
          <w:rStyle w:val="HTML-cytat"/>
          <w:sz w:val="28"/>
          <w:szCs w:val="28"/>
        </w:rPr>
        <w:t xml:space="preserve">  </w:t>
      </w:r>
      <w:r>
        <w:rPr>
          <w:sz w:val="28"/>
          <w:szCs w:val="28"/>
        </w:rPr>
        <w:t xml:space="preserve">oraz w formie papierowej w siedzibie LGD. </w:t>
      </w:r>
    </w:p>
    <w:p w:rsidR="00E64BF8" w:rsidRDefault="00E64BF8" w:rsidP="00E64BF8">
      <w:pPr>
        <w:spacing w:after="120" w:line="276" w:lineRule="auto"/>
        <w:jc w:val="both"/>
        <w:rPr>
          <w:sz w:val="28"/>
          <w:szCs w:val="28"/>
        </w:rPr>
      </w:pPr>
    </w:p>
    <w:p w:rsidR="00E64BF8" w:rsidRDefault="00E64BF8" w:rsidP="00E64BF8">
      <w:pPr>
        <w:pStyle w:val="Akapitzlist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Kryteria wyboru</w:t>
      </w:r>
      <w:r w:rsidR="003B5915">
        <w:rPr>
          <w:b/>
          <w:sz w:val="28"/>
          <w:szCs w:val="28"/>
        </w:rPr>
        <w:t xml:space="preserve"> i ich ustalenie</w:t>
      </w:r>
    </w:p>
    <w:p w:rsidR="00E64BF8" w:rsidRDefault="00E64BF8" w:rsidP="00E64BF8">
      <w:pPr>
        <w:jc w:val="both"/>
      </w:pPr>
      <w:r>
        <w:t xml:space="preserve">Kryteria zostały ustalone zgodnie z wymogami określonymi w programach/ przepisach dla EFROW, posiadają metodologię wyliczenia oraz są mierzalne albo zawierają szczegółowy opis wyjaśniający wymagania konieczne do spełnienia danego kryterium, niebudzące wątpliwości interpretacyjnych, posiadają dodatkowe opisy/ definicje.  Zasady ustalania lub zmiany kryteriów są przejrzyste. Procedura tworzenia i zmiany kryteriów </w:t>
      </w:r>
      <w:r w:rsidR="009F0F92">
        <w:t>była</w:t>
      </w:r>
      <w:r>
        <w:t xml:space="preserve"> konsultowana ze społecznością lokalną.</w:t>
      </w:r>
    </w:p>
    <w:p w:rsidR="00E64BF8" w:rsidRDefault="00E64BF8" w:rsidP="00E64BF8">
      <w:pPr>
        <w:jc w:val="both"/>
      </w:pPr>
      <w:r>
        <w:t>Kryteria są adekwatne do diagnozy, ponieważ ustalane były podczas przeprowadzanych konsultacji społecznych na których to społeczność lokalna zgłaszała uwagi, propozycje, pewne przemyślenia mając także na względzie wytyczne Programu PROW i ustawy o RLKS.</w:t>
      </w:r>
    </w:p>
    <w:p w:rsidR="00E64BF8" w:rsidRDefault="00E64BF8" w:rsidP="00E64BF8">
      <w:pPr>
        <w:jc w:val="both"/>
      </w:pPr>
      <w:r>
        <w:t>Kryteria zapewniają wybór operacji przyczyniających się do osiągnięcia poszczególnych celów LSR i bezpośrednio odnoszą się do wskaźników produktu i rezultatu LSR, ponieważ w stworzonych kartach oceny znajdują się kryteria punktowe powiązane z oddziaływaniem operacji na najważniejsze obszary oddziaływania LSR.</w:t>
      </w:r>
    </w:p>
    <w:p w:rsidR="00E64BF8" w:rsidRDefault="00E64BF8" w:rsidP="00E64BF8"/>
    <w:p w:rsidR="009F0F92" w:rsidRDefault="009F0F92" w:rsidP="00E64BF8">
      <w:pPr>
        <w:spacing w:line="276" w:lineRule="auto"/>
        <w:jc w:val="both"/>
        <w:rPr>
          <w:sz w:val="35"/>
          <w:szCs w:val="35"/>
        </w:rPr>
      </w:pPr>
    </w:p>
    <w:p w:rsidR="00E64BF8" w:rsidRDefault="00E64BF8" w:rsidP="00E64BF8">
      <w:pPr>
        <w:pStyle w:val="Akapitzlist"/>
        <w:jc w:val="both"/>
      </w:pPr>
    </w:p>
    <w:p w:rsidR="00E433DE" w:rsidRDefault="00E433DE" w:rsidP="009F0F92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916A11">
        <w:rPr>
          <w:b/>
        </w:rPr>
        <w:t xml:space="preserve">KRYTERIA  W ODNIESIENIU DO NABORÓW OGŁASZANYCH </w:t>
      </w:r>
    </w:p>
    <w:p w:rsidR="00E433DE" w:rsidRPr="00916A11" w:rsidRDefault="00E433DE" w:rsidP="00E433DE">
      <w:pPr>
        <w:jc w:val="center"/>
        <w:rPr>
          <w:b/>
        </w:rPr>
      </w:pPr>
      <w:r w:rsidRPr="00916A11">
        <w:rPr>
          <w:b/>
        </w:rPr>
        <w:t xml:space="preserve">W ZAKRESIE OPERACJI </w:t>
      </w:r>
      <w:r>
        <w:rPr>
          <w:b/>
        </w:rPr>
        <w:t>GRANTOWYCH</w:t>
      </w:r>
    </w:p>
    <w:p w:rsidR="00E433DE" w:rsidRDefault="00E433DE" w:rsidP="00E433DE"/>
    <w:p w:rsidR="00E433DE" w:rsidRDefault="00E433DE" w:rsidP="00E433DE"/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3119"/>
        <w:gridCol w:w="3260"/>
        <w:gridCol w:w="1559"/>
      </w:tblGrid>
      <w:tr w:rsidR="00E433DE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E433DE" w:rsidTr="00AE75A0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b/>
                <w:bCs/>
                <w:sz w:val="18"/>
                <w:szCs w:val="18"/>
              </w:rPr>
            </w:pPr>
            <w:r w:rsidRPr="00BF44B2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A1E8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r w:rsidRPr="007A1E82">
              <w:rPr>
                <w:rFonts w:eastAsiaTheme="majorEastAsia"/>
                <w:b/>
                <w:bCs/>
                <w:sz w:val="18"/>
                <w:szCs w:val="18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wnioski oddziałujące poz</w:t>
            </w:r>
            <w:r>
              <w:rPr>
                <w:sz w:val="18"/>
                <w:szCs w:val="18"/>
              </w:rPr>
              <w:t>ytywnie na grupę defaworyzowaną ze względu na ograniczony dostęp do oferty wypoczynkowej, rekreacyjnej, kulturalnej</w:t>
            </w:r>
            <w:r w:rsidRPr="00BF44B2">
              <w:rPr>
                <w:sz w:val="18"/>
                <w:szCs w:val="18"/>
              </w:rPr>
              <w:t>.</w:t>
            </w:r>
          </w:p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 Identyfikacja grup defaworyzowanych na obszarze LSR znajduje się w Rozdziale I. LSR </w:t>
            </w:r>
            <w:r w:rsidRPr="00BF44B2">
              <w:rPr>
                <w:i/>
                <w:sz w:val="18"/>
                <w:szCs w:val="18"/>
              </w:rPr>
              <w:t>Charakterystyka LGD</w:t>
            </w:r>
            <w:r w:rsidRPr="00BF44B2">
              <w:rPr>
                <w:sz w:val="18"/>
                <w:szCs w:val="18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 </w:t>
            </w:r>
            <w:r w:rsidRPr="0070214F">
              <w:rPr>
                <w:rFonts w:eastAsiaTheme="majorEastAsia"/>
                <w:sz w:val="18"/>
                <w:szCs w:val="18"/>
              </w:rPr>
              <w:t>osoby starsze 60+    -    10 pkt</w:t>
            </w:r>
            <w:r w:rsidRPr="0070214F">
              <w:rPr>
                <w:rFonts w:eastAsiaTheme="majorEastAsia"/>
                <w:sz w:val="18"/>
                <w:szCs w:val="18"/>
              </w:rPr>
              <w:br/>
              <w:t>b/ dzieci i młodzież  -       8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Wniosek o przyznanie pomocy w ramach LSR</w:t>
            </w: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II. 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Default="00E433DE" w:rsidP="00AE75A0">
            <w:pPr>
              <w:rPr>
                <w:sz w:val="18"/>
                <w:szCs w:val="18"/>
              </w:rPr>
            </w:pPr>
            <w:r w:rsidRPr="0070214F">
              <w:rPr>
                <w:rFonts w:eastAsiaTheme="majorEastAsia"/>
                <w:sz w:val="18"/>
                <w:szCs w:val="18"/>
              </w:rPr>
              <w:t xml:space="preserve">Wnioskodawca zrealizował minimum 1 operację ze środków publicznych  - 2 pkt </w:t>
            </w:r>
          </w:p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70214F">
              <w:rPr>
                <w:rFonts w:eastAsiaTheme="majorEastAsia"/>
                <w:sz w:val="18"/>
                <w:szCs w:val="18"/>
              </w:rPr>
              <w:t>Wnioskodawca nie realizował projektów ze środków publicznych – 0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Wniosek o przyznanie pomocy w ramach LSR</w:t>
            </w: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 xml:space="preserve">Operacja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lastRenderedPageBreak/>
              <w:t xml:space="preserve">zakłada wykorzystanie lokalnych zasobów,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lastRenderedPageBreak/>
              <w:t>Preferuje się operacje</w:t>
            </w:r>
            <w:r>
              <w:rPr>
                <w:sz w:val="18"/>
                <w:szCs w:val="18"/>
              </w:rPr>
              <w:t xml:space="preserve">, które </w:t>
            </w:r>
            <w:r>
              <w:rPr>
                <w:sz w:val="18"/>
                <w:szCs w:val="18"/>
              </w:rPr>
              <w:lastRenderedPageBreak/>
              <w:t xml:space="preserve">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lastRenderedPageBreak/>
              <w:t xml:space="preserve">TAK   - 3 pkt 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br/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lastRenderedPageBreak/>
              <w:t>NIE  - 0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lastRenderedPageBreak/>
              <w:t xml:space="preserve">Wniosek o </w:t>
            </w:r>
            <w:r w:rsidRPr="00BF44B2">
              <w:rPr>
                <w:sz w:val="18"/>
                <w:szCs w:val="18"/>
              </w:rPr>
              <w:lastRenderedPageBreak/>
              <w:t>przyznanie pomocy w ramach LSR</w:t>
            </w: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IV.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Preferuje się organizacje pozarządowe </w:t>
            </w:r>
            <w:r w:rsidRPr="00BF4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70214F">
              <w:rPr>
                <w:rFonts w:eastAsiaTheme="majorEastAsia"/>
                <w:sz w:val="18"/>
                <w:szCs w:val="18"/>
              </w:rPr>
              <w:t>organizacja pozarządowa i   inne  podmioty nie będące jednostkami sektora finansów publicznych –    6 pkt</w:t>
            </w:r>
            <w:r w:rsidRPr="0070214F">
              <w:rPr>
                <w:rFonts w:eastAsiaTheme="majorEastAsia"/>
                <w:sz w:val="18"/>
                <w:szCs w:val="18"/>
              </w:rPr>
              <w:br/>
              <w:t>jednostki sektora finansów publicznych  -  5 pkt</w:t>
            </w:r>
            <w:r w:rsidRPr="007021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70214F" w:rsidRDefault="00E433DE" w:rsidP="00AE75A0">
            <w:pPr>
              <w:rPr>
                <w:sz w:val="18"/>
                <w:szCs w:val="18"/>
              </w:rPr>
            </w:pPr>
            <w:r w:rsidRPr="0070214F">
              <w:rPr>
                <w:rFonts w:eastAsiaTheme="majorEastAsia"/>
                <w:sz w:val="18"/>
                <w:szCs w:val="18"/>
              </w:rPr>
              <w:t xml:space="preserve">20% i więcej   -  5 pkt  </w:t>
            </w:r>
            <w:r w:rsidRPr="0070214F">
              <w:rPr>
                <w:rFonts w:eastAsiaTheme="majorEastAsia"/>
                <w:sz w:val="18"/>
                <w:szCs w:val="18"/>
              </w:rPr>
              <w:br/>
              <w:t xml:space="preserve">w przedziale 20% - 10%   -  4 pkt  </w:t>
            </w:r>
            <w:r w:rsidRPr="0070214F">
              <w:rPr>
                <w:rFonts w:eastAsiaTheme="majorEastAsia"/>
                <w:sz w:val="18"/>
                <w:szCs w:val="18"/>
              </w:rPr>
              <w:br/>
              <w:t>Poniżej  10%       -  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Wniosek o przyznanie pomocy w ramach LSR  </w:t>
            </w:r>
          </w:p>
        </w:tc>
      </w:tr>
      <w:tr w:rsidR="00E433DE" w:rsidRPr="00BF44B2" w:rsidTr="00AE75A0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Default="00E433DE" w:rsidP="00AE75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VI. </w:t>
            </w:r>
            <w:r w:rsidRPr="00D02F0B">
              <w:rPr>
                <w:rFonts w:eastAsiaTheme="majorEastAsia"/>
                <w:b/>
                <w:bCs/>
                <w:sz w:val="18"/>
                <w:szCs w:val="18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Default="00E433DE" w:rsidP="00AE7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70214F" w:rsidRDefault="00E433DE" w:rsidP="00AE75A0">
            <w:pPr>
              <w:rPr>
                <w:sz w:val="18"/>
                <w:szCs w:val="18"/>
              </w:rPr>
            </w:pPr>
            <w:r w:rsidRPr="00D02F0B">
              <w:rPr>
                <w:rFonts w:eastAsiaTheme="majorEastAsia"/>
                <w:sz w:val="18"/>
                <w:szCs w:val="18"/>
              </w:rPr>
              <w:t xml:space="preserve">Operacja przewiduje użycie w materiałach informacyjnych i promocyjnych logotypu LGD </w:t>
            </w:r>
            <w:r w:rsidRPr="00D02F0B">
              <w:rPr>
                <w:rFonts w:eastAsiaTheme="majorEastAsia"/>
                <w:sz w:val="18"/>
                <w:szCs w:val="18"/>
              </w:rPr>
              <w:br/>
              <w:t>tak -     pkt 3</w:t>
            </w:r>
            <w:r w:rsidRPr="00D02F0B">
              <w:rPr>
                <w:rFonts w:eastAsiaTheme="majorEastAsia"/>
                <w:sz w:val="18"/>
                <w:szCs w:val="18"/>
              </w:rPr>
              <w:br/>
              <w:t>nie – 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DE" w:rsidRPr="00BF44B2" w:rsidRDefault="00E433DE" w:rsidP="00AE75A0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Wniosek o przyznanie pomocy w ramach LSR  </w:t>
            </w:r>
          </w:p>
        </w:tc>
      </w:tr>
    </w:tbl>
    <w:p w:rsidR="00E64BF8" w:rsidRDefault="00E64BF8" w:rsidP="003B5915">
      <w:pPr>
        <w:jc w:val="both"/>
      </w:pPr>
    </w:p>
    <w:p w:rsidR="00E64BF8" w:rsidRPr="00E64BF8" w:rsidRDefault="00E64BF8" w:rsidP="00E64BF8"/>
    <w:p w:rsidR="00E64BF8" w:rsidRDefault="00E64BF8" w:rsidP="00E64BF8">
      <w:pPr>
        <w:rPr>
          <w:sz w:val="22"/>
          <w:szCs w:val="22"/>
        </w:rPr>
      </w:pPr>
    </w:p>
    <w:p w:rsidR="008E04E6" w:rsidRPr="00E64BF8" w:rsidRDefault="008E04E6" w:rsidP="00E64BF8">
      <w:pPr>
        <w:rPr>
          <w:sz w:val="22"/>
          <w:szCs w:val="22"/>
        </w:rPr>
      </w:pPr>
    </w:p>
    <w:p w:rsidR="00E64BF8" w:rsidRDefault="00E64BF8" w:rsidP="00E64BF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Zmiany Lokalnych kryteriów wyboru</w:t>
      </w:r>
    </w:p>
    <w:p w:rsidR="00E64BF8" w:rsidRDefault="00E64BF8" w:rsidP="00E64BF8">
      <w:pPr>
        <w:spacing w:after="120" w:line="276" w:lineRule="auto"/>
        <w:jc w:val="both"/>
        <w:rPr>
          <w:sz w:val="28"/>
          <w:szCs w:val="28"/>
        </w:rPr>
      </w:pPr>
    </w:p>
    <w:p w:rsidR="009F0F92" w:rsidRPr="00E07130" w:rsidRDefault="009F0F92" w:rsidP="009F0F92">
      <w:pPr>
        <w:spacing w:after="120" w:line="276" w:lineRule="auto"/>
        <w:jc w:val="both"/>
        <w:rPr>
          <w:b/>
        </w:rPr>
      </w:pPr>
      <w:r w:rsidRPr="00E07130">
        <w:rPr>
          <w:b/>
        </w:rPr>
        <w:t xml:space="preserve">Zmiana kryteriów nie jest możliwa od  czasu ogłoszenia o naborze wniosków do czasu zakończenia procedury oceny wniosków. </w:t>
      </w:r>
    </w:p>
    <w:p w:rsidR="009F0F92" w:rsidRPr="00E07130" w:rsidRDefault="009F0F92" w:rsidP="009F0F92">
      <w:pPr>
        <w:spacing w:after="120" w:line="276" w:lineRule="auto"/>
        <w:jc w:val="both"/>
      </w:pPr>
      <w:r w:rsidRPr="00E07130">
        <w:t>Proces wyboru wniosków trwa od podania do publicznej wiadomości ogłoszenia o naborze wniosków do przekazania dokumentacji do oceny merytorycznej przez Instytucję Pośredniczącą</w:t>
      </w:r>
    </w:p>
    <w:p w:rsidR="009F0F92" w:rsidRPr="00E07130" w:rsidRDefault="009F0F92" w:rsidP="009F0F92">
      <w:pPr>
        <w:spacing w:after="120" w:line="276" w:lineRule="auto"/>
        <w:jc w:val="both"/>
      </w:pPr>
      <w:r w:rsidRPr="00E07130">
        <w:t>O ewentualnej zmianie kryteriów zgodności operacji z LSR lub lokalnych kryteriów wyboru operacji w LSR decyduje Zarząd LGD na wniosek Rady lub samodzielnie. Powodem zmian mogą być: sytuacja społeczno-gospodarcza obszaru i/lub stopień realizacji lokalnej strategii rozwoju w ramach poszczególnych obszarów tematycznych (celów ogólnych, celów szczegółowych) oraz uwarunkowania prawne.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 xml:space="preserve">Każdy Członek Rady może wystąpić z wnioskiem o zmianę kryteriów wyboru zawierającym 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>pisemną propozycję zmian wraz z uzasadnieniem zaproponowanej zmiany.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lastRenderedPageBreak/>
        <w:t>Wniosek o zmianę kryteriów poddawany jest głosowaniu na najbliższym posiedzeniu Rady LGD.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>W przypadku głosowania za przyjęciem wniosku Przewodniczący Rady występuje z pisemnym wnioskiem do Zarządu LGD o zmianę kryteriów wyboru.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>Zarząd podejmuje Uchwałę o przystąpieniu do zmiany kryteriów wyboru.</w:t>
      </w:r>
    </w:p>
    <w:p w:rsidR="009F0F92" w:rsidRPr="00E07130" w:rsidRDefault="009F0F92" w:rsidP="009F0F92">
      <w:pPr>
        <w:spacing w:after="120" w:line="276" w:lineRule="auto"/>
        <w:jc w:val="both"/>
      </w:pPr>
      <w:r w:rsidRPr="00E07130">
        <w:t xml:space="preserve">Wnioskowane zmiany muszą być  poddane  konsultacjom społecznym. 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 xml:space="preserve">Każdy z mieszkańców obszaru objętego działalnością LGD ma prawo do wniesienia uwag do proponowanych zmian w terminie </w:t>
      </w:r>
      <w:r w:rsidRPr="001139DF">
        <w:rPr>
          <w:rFonts w:cs="Times New Roman"/>
        </w:rPr>
        <w:t>21 dni, licząc</w:t>
      </w:r>
      <w:r w:rsidRPr="00E07130">
        <w:rPr>
          <w:rFonts w:cs="Times New Roman"/>
        </w:rPr>
        <w:t xml:space="preserve"> od dania podania do publicznej wiadomości.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>LGD organizuje spotkanie z mieszkańcami celem omówienia zgłoszonych uwag i ustalenia ostatecznego zakresu zmian kryteriów wyboru.</w:t>
      </w:r>
    </w:p>
    <w:p w:rsidR="009F0F92" w:rsidRPr="00E07130" w:rsidRDefault="009F0F92" w:rsidP="009F0F92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</w:rPr>
      </w:pPr>
      <w:r w:rsidRPr="00E07130">
        <w:rPr>
          <w:rFonts w:cs="Times New Roman"/>
        </w:rPr>
        <w:t>W przypadku pozytywnego rozpatrzenia wniosku o zmianę kryteriów wyboru  pracownicy LGD przygotowują zaktualizowaną dokumentację.</w:t>
      </w:r>
    </w:p>
    <w:p w:rsidR="009F0F92" w:rsidRPr="00E07130" w:rsidRDefault="009F0F92" w:rsidP="009F0F92">
      <w:pPr>
        <w:spacing w:after="120" w:line="276" w:lineRule="auto"/>
        <w:jc w:val="both"/>
      </w:pPr>
      <w:r w:rsidRPr="00E07130">
        <w:t xml:space="preserve">Po przeprowadzeniu konsultacji i uzyskaniu pozytywnej opinii  Zarząd LGD wnioskuje do Walnego Zebrania Członków o zatwierdzenie nowych lokalnych kryteriów wyboru. </w:t>
      </w:r>
    </w:p>
    <w:p w:rsidR="009F0F92" w:rsidRPr="00E07130" w:rsidRDefault="009F0F92" w:rsidP="009F0F92">
      <w:pPr>
        <w:spacing w:after="120" w:line="276" w:lineRule="auto"/>
        <w:jc w:val="both"/>
        <w:rPr>
          <w:b/>
        </w:rPr>
      </w:pPr>
      <w:r w:rsidRPr="00E07130">
        <w:t>Walne Zebranie Członków zatwierdza nowe lokalne kryteria wyboru w drodze uchwały wskazując datę ich obowiązywania.</w:t>
      </w:r>
    </w:p>
    <w:p w:rsidR="009F0F92" w:rsidRPr="00E07130" w:rsidRDefault="009F0F92" w:rsidP="009F0F92">
      <w:pPr>
        <w:spacing w:after="120" w:line="276" w:lineRule="auto"/>
        <w:jc w:val="both"/>
        <w:rPr>
          <w:b/>
        </w:rPr>
      </w:pPr>
      <w:r w:rsidRPr="00E07130">
        <w:t xml:space="preserve">Nowe lokalne kryteria wyboru operacji powinny uzyskać akceptację Samorządu Województwa. </w:t>
      </w:r>
    </w:p>
    <w:p w:rsidR="009F0F92" w:rsidRPr="00E07130" w:rsidRDefault="009F0F92" w:rsidP="009F0F92">
      <w:pPr>
        <w:spacing w:after="120" w:line="276" w:lineRule="auto"/>
        <w:jc w:val="both"/>
      </w:pPr>
      <w:r w:rsidRPr="00E07130">
        <w:t xml:space="preserve">W przypadku zmiany kryteriów wyboru będą one obowiązywać w konkursach ogłoszonych po dniu zatwierdzenia zmian przez Walne Zebranie Członków. </w:t>
      </w:r>
    </w:p>
    <w:p w:rsidR="00E64BF8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</w:pPr>
    </w:p>
    <w:p w:rsidR="009F0F92" w:rsidRDefault="009F0F92" w:rsidP="00E64BF8">
      <w:pPr>
        <w:pStyle w:val="Standard"/>
        <w:widowControl/>
        <w:suppressAutoHyphens w:val="0"/>
        <w:autoSpaceDE w:val="0"/>
        <w:spacing w:after="120" w:line="276" w:lineRule="auto"/>
        <w:jc w:val="both"/>
      </w:pPr>
    </w:p>
    <w:p w:rsidR="00E64BF8" w:rsidRDefault="00E64BF8" w:rsidP="00E64BF8">
      <w:pPr>
        <w:pStyle w:val="Standard"/>
        <w:widowControl/>
        <w:suppressAutoHyphens w:val="0"/>
        <w:autoSpaceDE w:val="0"/>
        <w:spacing w:after="120" w:line="276" w:lineRule="auto"/>
        <w:jc w:val="both"/>
      </w:pPr>
      <w:r>
        <w:t>Niniejsza procedura została zatwierdzona Uchwałą Nr  5</w:t>
      </w:r>
      <w:r w:rsidR="009F0F92">
        <w:t>3</w:t>
      </w:r>
      <w:r>
        <w:t xml:space="preserve">/2015 Walnego Zebrania Członków Stowarzyszenia LGD „Lepsza Przyszłość Ziemi Ryckiej” z dnia 28.12.2015 r. </w:t>
      </w:r>
    </w:p>
    <w:p w:rsidR="00E64BF8" w:rsidRDefault="00E64BF8" w:rsidP="00E64BF8">
      <w:pPr>
        <w:pStyle w:val="Standard"/>
        <w:widowControl/>
        <w:suppressAutoHyphens w:val="0"/>
        <w:autoSpaceDE w:val="0"/>
        <w:jc w:val="both"/>
        <w:rPr>
          <w:rFonts w:cs="Times New Roman"/>
          <w:b/>
          <w:bCs/>
        </w:rPr>
      </w:pPr>
    </w:p>
    <w:p w:rsidR="00E64BF8" w:rsidRDefault="00E64BF8" w:rsidP="00E64BF8"/>
    <w:p w:rsidR="00E64BF8" w:rsidRDefault="00E64BF8" w:rsidP="00E64BF8">
      <w:r>
        <w:t xml:space="preserve"> </w:t>
      </w:r>
    </w:p>
    <w:p w:rsidR="00C14DC9" w:rsidRDefault="00C14DC9"/>
    <w:sectPr w:rsidR="00C14DC9" w:rsidSect="00C14D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0F" w:rsidRDefault="00491E0F" w:rsidP="008E04E6">
      <w:r>
        <w:separator/>
      </w:r>
    </w:p>
  </w:endnote>
  <w:endnote w:type="continuationSeparator" w:id="0">
    <w:p w:rsidR="00491E0F" w:rsidRDefault="00491E0F" w:rsidP="008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39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04E6" w:rsidRDefault="008E04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765D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765D3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E04E6" w:rsidRDefault="008E0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0F" w:rsidRDefault="00491E0F" w:rsidP="008E04E6">
      <w:r>
        <w:separator/>
      </w:r>
    </w:p>
  </w:footnote>
  <w:footnote w:type="continuationSeparator" w:id="0">
    <w:p w:rsidR="00491E0F" w:rsidRDefault="00491E0F" w:rsidP="008E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9D2747"/>
    <w:multiLevelType w:val="hybridMultilevel"/>
    <w:tmpl w:val="EB04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C57BA"/>
    <w:multiLevelType w:val="hybridMultilevel"/>
    <w:tmpl w:val="D200F96A"/>
    <w:lvl w:ilvl="0" w:tplc="F9D87C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9304F"/>
    <w:multiLevelType w:val="hybridMultilevel"/>
    <w:tmpl w:val="C12A1160"/>
    <w:lvl w:ilvl="0" w:tplc="BD7608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0013E"/>
    <w:multiLevelType w:val="hybridMultilevel"/>
    <w:tmpl w:val="33F6DB80"/>
    <w:lvl w:ilvl="0" w:tplc="C15EDA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D162D"/>
    <w:multiLevelType w:val="hybridMultilevel"/>
    <w:tmpl w:val="81F6574C"/>
    <w:lvl w:ilvl="0" w:tplc="666CC9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564B2"/>
    <w:multiLevelType w:val="hybridMultilevel"/>
    <w:tmpl w:val="69B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F8"/>
    <w:rsid w:val="00097D47"/>
    <w:rsid w:val="003B5915"/>
    <w:rsid w:val="00491E0F"/>
    <w:rsid w:val="00531D7E"/>
    <w:rsid w:val="00870685"/>
    <w:rsid w:val="008E04E6"/>
    <w:rsid w:val="00952673"/>
    <w:rsid w:val="009F0F92"/>
    <w:rsid w:val="00A765D3"/>
    <w:rsid w:val="00C14DC9"/>
    <w:rsid w:val="00E433DE"/>
    <w:rsid w:val="00E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81FB-DFD7-4C09-ADC2-A85A508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4B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4BF8"/>
    <w:pPr>
      <w:ind w:left="720"/>
      <w:contextualSpacing/>
    </w:pPr>
  </w:style>
  <w:style w:type="paragraph" w:customStyle="1" w:styleId="Standard">
    <w:name w:val="Standard"/>
    <w:rsid w:val="00E64BF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styleId="HTML-cytat">
    <w:name w:val="HTML Cite"/>
    <w:basedOn w:val="Domylnaczcionkaakapitu"/>
    <w:semiHidden/>
    <w:unhideWhenUsed/>
    <w:rsid w:val="00E64B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0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4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Anna Wąsowska</cp:lastModifiedBy>
  <cp:revision>2</cp:revision>
  <cp:lastPrinted>2016-01-15T10:12:00Z</cp:lastPrinted>
  <dcterms:created xsi:type="dcterms:W3CDTF">2016-05-09T20:57:00Z</dcterms:created>
  <dcterms:modified xsi:type="dcterms:W3CDTF">2016-05-09T20:57:00Z</dcterms:modified>
</cp:coreProperties>
</file>